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</w:p>
    <w:p w:rsidR="002249C4" w:rsidRPr="004B6747" w:rsidRDefault="000C13B9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Pelvic Sling</w:t>
      </w:r>
    </w:p>
    <w:p w:rsidR="00380C6E" w:rsidRPr="002302F3" w:rsidRDefault="007E6D4A" w:rsidP="00380C6E">
      <w:pPr>
        <w:jc w:val="center"/>
        <w:rPr>
          <w:b/>
          <w:cap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161290</wp:posOffset>
                </wp:positionV>
                <wp:extent cx="5715000" cy="0"/>
                <wp:effectExtent l="9525" t="8890" r="9525" b="1016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7pt" to="477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AN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J6ExvXAEBldrZUBs9qxez1fS7Q0pXLVEHHhm+XgykZSEjeZMSNs4A/r7/rBnEkKPXsU3n&#10;xnYBEhqAzlGNy10NfvaIwuH0KZumK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"/>
            </w:pict>
          </mc:Fallback>
        </mc:AlternateContent>
      </w:r>
    </w:p>
    <w:p w:rsidR="002249C4" w:rsidRPr="00380C6E" w:rsidRDefault="00380C6E" w:rsidP="00380C6E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5337A4" w:rsidTr="00AF4ED7">
        <w:trPr>
          <w:trHeight w:val="377"/>
        </w:trPr>
        <w:tc>
          <w:tcPr>
            <w:tcW w:w="10908" w:type="dxa"/>
            <w:shd w:val="clear" w:color="auto" w:fill="FFCC99"/>
          </w:tcPr>
          <w:p w:rsidR="00996F86" w:rsidRPr="00996F86" w:rsidRDefault="005337A4" w:rsidP="00996F86">
            <w:pPr>
              <w:numPr>
                <w:ilvl w:val="0"/>
                <w:numId w:val="2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6B68B4">
              <w:rPr>
                <w:rFonts w:ascii="Tahoma" w:hAnsi="Tahoma" w:cs="Tahoma"/>
                <w:sz w:val="20"/>
                <w:szCs w:val="20"/>
              </w:rPr>
              <w:t xml:space="preserve">Immobilization of </w:t>
            </w:r>
            <w:r w:rsidR="00380C6E" w:rsidRPr="006B68B4">
              <w:rPr>
                <w:rFonts w:ascii="Tahoma" w:hAnsi="Tahoma" w:cs="Tahoma"/>
                <w:sz w:val="20"/>
                <w:szCs w:val="20"/>
              </w:rPr>
              <w:t>the pelvis</w:t>
            </w:r>
            <w:r w:rsidRPr="006B68B4">
              <w:rPr>
                <w:rFonts w:ascii="Tahoma" w:hAnsi="Tahoma" w:cs="Tahoma"/>
                <w:sz w:val="20"/>
                <w:szCs w:val="20"/>
              </w:rPr>
              <w:t xml:space="preserve"> for transport, due to suspected </w:t>
            </w:r>
            <w:r w:rsidR="006B68B4">
              <w:rPr>
                <w:rFonts w:ascii="Tahoma" w:hAnsi="Tahoma" w:cs="Tahoma"/>
                <w:sz w:val="20"/>
                <w:szCs w:val="20"/>
              </w:rPr>
              <w:t xml:space="preserve">pelvic </w:t>
            </w:r>
            <w:r w:rsidRPr="006B68B4">
              <w:rPr>
                <w:rFonts w:ascii="Tahoma" w:hAnsi="Tahoma" w:cs="Tahoma"/>
                <w:sz w:val="20"/>
                <w:szCs w:val="20"/>
              </w:rPr>
              <w:t>fracture.</w:t>
            </w:r>
            <w:r w:rsidR="00996F86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996F86" w:rsidRPr="00996F86">
              <w:rPr>
                <w:rFonts w:ascii="Tahoma" w:hAnsi="Tahoma" w:cs="Tahoma"/>
                <w:sz w:val="20"/>
                <w:szCs w:val="20"/>
              </w:rPr>
              <w:t>Patients with a history of high energy, multi</w:t>
            </w:r>
            <w:r w:rsidR="00996F86" w:rsidRPr="00996F86">
              <w:rPr>
                <w:rFonts w:ascii="Cambria Math" w:hAnsi="Cambria Math" w:cs="Cambria Math"/>
                <w:sz w:val="20"/>
                <w:szCs w:val="20"/>
              </w:rPr>
              <w:t>‐</w:t>
            </w:r>
            <w:r w:rsidR="00996F86" w:rsidRPr="00996F86">
              <w:rPr>
                <w:rFonts w:ascii="Tahoma" w:hAnsi="Tahoma" w:cs="Tahoma"/>
                <w:sz w:val="20"/>
                <w:szCs w:val="20"/>
              </w:rPr>
              <w:t>system trauma i.e.: motor vehicle accidents,</w:t>
            </w:r>
            <w:r w:rsidR="0035105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96F86" w:rsidRPr="00996F86">
              <w:rPr>
                <w:rFonts w:ascii="Tahoma" w:hAnsi="Tahoma" w:cs="Tahoma"/>
                <w:sz w:val="20"/>
                <w:szCs w:val="20"/>
              </w:rPr>
              <w:t>pedestrian a</w:t>
            </w:r>
            <w:r w:rsidR="00996F86">
              <w:rPr>
                <w:rFonts w:ascii="Tahoma" w:hAnsi="Tahoma" w:cs="Tahoma"/>
                <w:sz w:val="20"/>
                <w:szCs w:val="20"/>
              </w:rPr>
              <w:t>ccidents, crush injuries, and falls are at greater risk</w:t>
            </w:r>
            <w:r w:rsidR="008911C5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A02D3D" w:rsidRDefault="00380C6E" w:rsidP="00A02D3D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6B68B4">
              <w:rPr>
                <w:rFonts w:ascii="Tahoma" w:hAnsi="Tahoma" w:cs="Tahoma"/>
                <w:sz w:val="20"/>
                <w:szCs w:val="20"/>
              </w:rPr>
              <w:t xml:space="preserve">Unrestrained movement of fractured pelvic bones following significant trauma can cause internal hemorrhage and death. </w:t>
            </w:r>
            <w:r w:rsidR="00A02D3D" w:rsidRPr="00A02D3D">
              <w:rPr>
                <w:rFonts w:ascii="Tahoma" w:hAnsi="Tahoma" w:cs="Tahoma"/>
                <w:sz w:val="20"/>
                <w:szCs w:val="20"/>
              </w:rPr>
              <w:t>Any motion between the torso and legs can cause severe</w:t>
            </w:r>
            <w:r w:rsidR="00A02D3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02D3D" w:rsidRPr="00A02D3D">
              <w:rPr>
                <w:rFonts w:ascii="Tahoma" w:hAnsi="Tahoma" w:cs="Tahoma"/>
                <w:sz w:val="20"/>
                <w:szCs w:val="20"/>
              </w:rPr>
              <w:t>shifting of the fractured pelvis, potentially dislodging any clotting already in place.</w:t>
            </w:r>
          </w:p>
          <w:p w:rsidR="00A02D3D" w:rsidRDefault="00A02D3D" w:rsidP="00A02D3D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A02D3D">
              <w:rPr>
                <w:rFonts w:ascii="Tahoma" w:hAnsi="Tahoma" w:cs="Tahoma"/>
                <w:sz w:val="20"/>
                <w:szCs w:val="20"/>
              </w:rPr>
              <w:t>MAST pants can stabilize a broken pelvis, but over or under inflation of MAST will compromise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02D3D">
              <w:rPr>
                <w:rFonts w:ascii="Tahoma" w:hAnsi="Tahoma" w:cs="Tahoma"/>
                <w:sz w:val="20"/>
                <w:szCs w:val="20"/>
              </w:rPr>
              <w:t>their effectiveness. There is no way to know when the pressure is right for pelvic stabilization.</w:t>
            </w:r>
          </w:p>
          <w:p w:rsidR="00380C6E" w:rsidRPr="00A02D3D" w:rsidRDefault="00A02D3D" w:rsidP="00A02D3D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A02D3D">
              <w:rPr>
                <w:rFonts w:ascii="Tahoma" w:hAnsi="Tahoma" w:cs="Tahoma"/>
                <w:sz w:val="20"/>
                <w:szCs w:val="20"/>
              </w:rPr>
              <w:t>The Pelvic Sling was designed to apply the ideal amount of force to bring the pelvic ring back into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02D3D">
              <w:rPr>
                <w:rFonts w:ascii="Tahoma" w:hAnsi="Tahoma" w:cs="Tahoma"/>
                <w:sz w:val="20"/>
                <w:szCs w:val="20"/>
              </w:rPr>
              <w:t>alignment. Like the MAST, the Pelvic Sling uses circumferential pressure to squeeze the pelvis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02D3D">
              <w:rPr>
                <w:rFonts w:ascii="Tahoma" w:hAnsi="Tahoma" w:cs="Tahoma"/>
                <w:sz w:val="20"/>
                <w:szCs w:val="20"/>
              </w:rPr>
              <w:t>uniformly. The Sling’s major advantage is that its buckle has a definite stop with a positive click at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02D3D">
              <w:rPr>
                <w:rFonts w:ascii="Tahoma" w:hAnsi="Tahoma" w:cs="Tahoma"/>
                <w:sz w:val="20"/>
                <w:szCs w:val="20"/>
              </w:rPr>
              <w:t>exactly the optimal calculated pressure.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2C3FF0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E – EMT BASIC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A-EMTA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8911C5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 w:rsidTr="0035105C">
        <w:trPr>
          <w:cantSplit/>
          <w:trHeight w:val="3239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CCFFCC"/>
          </w:tcPr>
          <w:p w:rsidR="000C13B9" w:rsidRPr="008911C5" w:rsidRDefault="000C13B9" w:rsidP="00996F86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</w:rPr>
              <w:t xml:space="preserve">Clothing should be removed before placing the Sling. </w:t>
            </w:r>
            <w:r w:rsidRPr="008911C5">
              <w:rPr>
                <w:rFonts w:ascii="Tahoma" w:hAnsi="Tahoma" w:cs="Tahoma"/>
                <w:i/>
                <w:iCs/>
              </w:rPr>
              <w:t>(It is designed to stay in place until</w:t>
            </w:r>
            <w:r w:rsidR="00996F86" w:rsidRPr="008911C5">
              <w:rPr>
                <w:rFonts w:ascii="Tahoma" w:hAnsi="Tahoma" w:cs="Tahoma"/>
              </w:rPr>
              <w:t xml:space="preserve"> </w:t>
            </w:r>
            <w:r w:rsidRPr="008911C5">
              <w:rPr>
                <w:rFonts w:ascii="Tahoma" w:hAnsi="Tahoma" w:cs="Tahoma"/>
                <w:i/>
                <w:iCs/>
              </w:rPr>
              <w:t>the patient goes to surgery).</w:t>
            </w:r>
          </w:p>
          <w:p w:rsidR="0035105C" w:rsidRPr="008911C5" w:rsidRDefault="000C13B9" w:rsidP="0035105C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</w:rPr>
              <w:t>Three sizes are available to fit patients</w:t>
            </w:r>
          </w:p>
          <w:p w:rsidR="0035105C" w:rsidRPr="008911C5" w:rsidRDefault="0035105C" w:rsidP="0035105C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</w:rPr>
              <w:t>Large (&gt;200 pounds)</w:t>
            </w:r>
          </w:p>
          <w:p w:rsidR="0035105C" w:rsidRPr="008911C5" w:rsidRDefault="0035105C" w:rsidP="0035105C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</w:rPr>
              <w:t xml:space="preserve">Standard (110 – 200 pounds):  </w:t>
            </w:r>
            <w:r w:rsidRPr="008911C5">
              <w:rPr>
                <w:rFonts w:ascii="Tahoma" w:hAnsi="Tahoma" w:cs="Tahoma"/>
                <w:i/>
                <w:iCs/>
              </w:rPr>
              <w:t>The standard size can be field modified to fit smaller patients, just cut off the plastic</w:t>
            </w:r>
            <w:r w:rsidRPr="008911C5">
              <w:rPr>
                <w:rFonts w:ascii="Tahoma" w:hAnsi="Tahoma" w:cs="Tahoma"/>
              </w:rPr>
              <w:t xml:space="preserve"> </w:t>
            </w:r>
            <w:r w:rsidRPr="008911C5">
              <w:rPr>
                <w:rFonts w:ascii="Tahoma" w:hAnsi="Tahoma" w:cs="Tahoma"/>
                <w:i/>
                <w:iCs/>
              </w:rPr>
              <w:t>slide pad and use the Velcro that is under it.</w:t>
            </w:r>
          </w:p>
          <w:p w:rsidR="0035105C" w:rsidRPr="008911C5" w:rsidRDefault="0035105C" w:rsidP="0035105C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</w:rPr>
              <w:t>Small (80-120 pounds)</w:t>
            </w:r>
          </w:p>
          <w:p w:rsidR="000C13B9" w:rsidRPr="008911C5" w:rsidRDefault="000C13B9" w:rsidP="0035105C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  <w:bCs/>
              </w:rPr>
              <w:t>The Sling wraps the hi</w:t>
            </w:r>
            <w:r w:rsidR="008911C5" w:rsidRPr="008911C5">
              <w:rPr>
                <w:rFonts w:ascii="Tahoma" w:hAnsi="Tahoma" w:cs="Tahoma"/>
                <w:bCs/>
              </w:rPr>
              <w:t xml:space="preserve">ps and buttocks, not the waist.  </w:t>
            </w:r>
            <w:r w:rsidRPr="008911C5">
              <w:rPr>
                <w:rFonts w:ascii="Tahoma" w:hAnsi="Tahoma" w:cs="Tahoma"/>
                <w:bCs/>
              </w:rPr>
              <w:t>Be sure you place the top of the</w:t>
            </w:r>
            <w:r w:rsidR="0035105C" w:rsidRPr="008911C5">
              <w:rPr>
                <w:rFonts w:ascii="Tahoma" w:hAnsi="Tahoma" w:cs="Tahoma"/>
              </w:rPr>
              <w:t xml:space="preserve"> </w:t>
            </w:r>
            <w:r w:rsidRPr="008911C5">
              <w:rPr>
                <w:rFonts w:ascii="Tahoma" w:hAnsi="Tahoma" w:cs="Tahoma"/>
                <w:bCs/>
              </w:rPr>
              <w:t>sling no higher than the anterior superior spine of the femur. Try to make sure the</w:t>
            </w:r>
            <w:r w:rsidR="0035105C" w:rsidRPr="008911C5">
              <w:rPr>
                <w:rFonts w:ascii="Tahoma" w:hAnsi="Tahoma" w:cs="Tahoma"/>
              </w:rPr>
              <w:t xml:space="preserve"> </w:t>
            </w:r>
            <w:r w:rsidRPr="008911C5">
              <w:rPr>
                <w:rFonts w:ascii="Tahoma" w:hAnsi="Tahoma" w:cs="Tahoma"/>
                <w:bCs/>
              </w:rPr>
              <w:t>buckle is centered over the alignment of the pubic symphasis.</w:t>
            </w:r>
          </w:p>
          <w:p w:rsidR="000C13B9" w:rsidRPr="008911C5" w:rsidRDefault="000C13B9" w:rsidP="0035105C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8911C5">
              <w:rPr>
                <w:rFonts w:ascii="Tahoma" w:hAnsi="Tahoma" w:cs="Tahoma"/>
              </w:rPr>
              <w:t>The Sling is a single</w:t>
            </w:r>
            <w:r w:rsidRPr="008911C5">
              <w:rPr>
                <w:rFonts w:ascii="Cambria Math" w:hAnsi="Cambria Math" w:cs="Cambria Math"/>
              </w:rPr>
              <w:t>‐</w:t>
            </w:r>
            <w:r w:rsidRPr="008911C5">
              <w:rPr>
                <w:rFonts w:ascii="Tahoma" w:hAnsi="Tahoma" w:cs="Tahoma"/>
              </w:rPr>
              <w:t>use, disposable item</w:t>
            </w:r>
            <w:r w:rsidR="008911C5" w:rsidRPr="008911C5">
              <w:rPr>
                <w:rFonts w:ascii="Tahoma" w:hAnsi="Tahoma" w:cs="Tahoma"/>
              </w:rPr>
              <w:t>.</w:t>
            </w:r>
          </w:p>
          <w:p w:rsidR="00EC0888" w:rsidRPr="0035105C" w:rsidRDefault="0035105C" w:rsidP="000C13B9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Style w:val="Strong"/>
              </w:rPr>
            </w:pPr>
            <w:r w:rsidRPr="008911C5">
              <w:rPr>
                <w:rStyle w:val="Strong"/>
                <w:rFonts w:ascii="Tahoma" w:hAnsi="Tahoma" w:cs="Tahoma"/>
              </w:rPr>
              <w:t>Once the sling is in place</w:t>
            </w:r>
            <w:r w:rsidR="008911C5" w:rsidRPr="008911C5">
              <w:rPr>
                <w:rStyle w:val="Strong"/>
                <w:rFonts w:ascii="Tahoma" w:hAnsi="Tahoma" w:cs="Tahoma"/>
              </w:rPr>
              <w:t xml:space="preserve">, </w:t>
            </w:r>
            <w:r w:rsidRPr="008911C5">
              <w:rPr>
                <w:rStyle w:val="Strong"/>
                <w:rFonts w:ascii="Tahoma" w:hAnsi="Tahoma" w:cs="Tahoma"/>
              </w:rPr>
              <w:t>don’t remove it.</w:t>
            </w:r>
            <w:r w:rsidR="007124FB">
              <w:rPr>
                <w:rStyle w:val="Strong"/>
                <w:rFonts w:ascii="Tahoma" w:hAnsi="Tahoma" w:cs="Tahoma"/>
                <w:vertAlign w:val="superscript"/>
              </w:rPr>
              <w:t>2,3,4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</w:tcPr>
          <w:p w:rsidR="00E06E43" w:rsidRDefault="00996F86">
            <w:pPr>
              <w:tabs>
                <w:tab w:val="left" w:pos="1815"/>
              </w:tabs>
            </w:pPr>
            <w:r>
              <w:t xml:space="preserve">   </w:t>
            </w:r>
          </w:p>
          <w:p w:rsidR="00E06E43" w:rsidRDefault="00E06E43">
            <w:pPr>
              <w:tabs>
                <w:tab w:val="left" w:pos="1815"/>
              </w:tabs>
            </w:pPr>
          </w:p>
          <w:p w:rsidR="00E06E43" w:rsidRDefault="00E06E43">
            <w:pPr>
              <w:tabs>
                <w:tab w:val="left" w:pos="1815"/>
              </w:tabs>
            </w:pPr>
          </w:p>
          <w:p w:rsidR="00E06E43" w:rsidRDefault="00E06E43">
            <w:pPr>
              <w:tabs>
                <w:tab w:val="left" w:pos="1815"/>
              </w:tabs>
            </w:pPr>
          </w:p>
          <w:p w:rsidR="00E06E43" w:rsidRDefault="00E06E43">
            <w:pPr>
              <w:tabs>
                <w:tab w:val="left" w:pos="1815"/>
              </w:tabs>
            </w:pPr>
          </w:p>
          <w:p w:rsidR="000E206A" w:rsidRPr="000B26F4" w:rsidRDefault="00E06E43">
            <w:pPr>
              <w:tabs>
                <w:tab w:val="left" w:pos="1815"/>
              </w:tabs>
              <w:rPr>
                <w:b/>
                <w:sz w:val="20"/>
                <w:szCs w:val="20"/>
                <w:vertAlign w:val="superscript"/>
              </w:rPr>
            </w:pPr>
            <w:r w:rsidRPr="000B26F4">
              <w:rPr>
                <w:b/>
                <w:sz w:val="20"/>
                <w:szCs w:val="20"/>
              </w:rPr>
              <w:t>E</w:t>
            </w:r>
            <w:r w:rsidR="000B26F4" w:rsidRPr="000B26F4">
              <w:rPr>
                <w:b/>
                <w:sz w:val="20"/>
                <w:szCs w:val="20"/>
                <w:vertAlign w:val="superscript"/>
              </w:rPr>
              <w:t>2-4</w:t>
            </w:r>
          </w:p>
        </w:tc>
      </w:tr>
    </w:tbl>
    <w:p w:rsidR="00D65D0A" w:rsidRDefault="00996F86" w:rsidP="00EF3F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  <w:rPr>
          <w:b/>
          <w:sz w:val="20"/>
          <w:szCs w:val="20"/>
        </w:rPr>
      </w:pPr>
      <w:r w:rsidRPr="00996F86">
        <w:rPr>
          <w:b/>
          <w:sz w:val="20"/>
          <w:szCs w:val="20"/>
        </w:rPr>
        <w:t>Pelvic sling placement is contraindicated for patients under 80 pounds.</w:t>
      </w:r>
    </w:p>
    <w:p w:rsidR="001D142C" w:rsidRDefault="00996F86" w:rsidP="00EF3F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Like a C-collar, the Pelvic Sling should be applied to any patient with high speed or other significant trauma suspicious for pelvic injury. </w:t>
      </w:r>
    </w:p>
    <w:p w:rsidR="00996F86" w:rsidRDefault="00996F86" w:rsidP="00EF3F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  <w:rPr>
          <w:b/>
          <w:sz w:val="20"/>
          <w:szCs w:val="20"/>
        </w:rPr>
      </w:pPr>
      <w:r>
        <w:rPr>
          <w:b/>
          <w:sz w:val="20"/>
          <w:szCs w:val="20"/>
        </w:rPr>
        <w:t>Even if instability of the pelvis is not obvious on exam, mechanism of injury alone may indicate us</w:t>
      </w:r>
      <w:r w:rsidR="00861992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 xml:space="preserve"> of the Sling.</w:t>
      </w:r>
    </w:p>
    <w:p w:rsidR="00B1427B" w:rsidRDefault="007E6D4A" w:rsidP="00EF3F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</w:pPr>
      <w:r>
        <w:rPr>
          <w:noProof/>
        </w:rPr>
        <w:drawing>
          <wp:inline distT="0" distB="0" distL="0" distR="0">
            <wp:extent cx="2409825" cy="2219325"/>
            <wp:effectExtent l="0" t="0" r="9525" b="9525"/>
            <wp:docPr id="4" name="Picture 1" descr="adult_pelvis_fx_treatmen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ult_pelvis_fx_treatment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7B" w:rsidRPr="00B1427B">
        <w:t xml:space="preserve"> </w:t>
      </w:r>
      <w:r>
        <w:rPr>
          <w:noProof/>
        </w:rPr>
        <w:drawing>
          <wp:inline distT="0" distB="0" distL="0" distR="0">
            <wp:extent cx="3771900" cy="2219325"/>
            <wp:effectExtent l="0" t="0" r="0" b="9525"/>
            <wp:docPr id="3" name="Picture 2" descr="SAM_Pelvic_Sling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Pelvic_Sling_I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FB" w:rsidRPr="00996F86" w:rsidRDefault="000705BF" w:rsidP="00EF3F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  <w:rPr>
          <w:b/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 w:rsidR="007124FB">
        <w:rPr>
          <w:sz w:val="20"/>
          <w:szCs w:val="20"/>
        </w:rPr>
        <w:t xml:space="preserve">EMT, </w:t>
      </w:r>
      <w:r>
        <w:rPr>
          <w:sz w:val="20"/>
          <w:szCs w:val="20"/>
          <w:vertAlign w:val="superscript"/>
        </w:rPr>
        <w:t>3</w:t>
      </w:r>
      <w:r w:rsidR="007124FB">
        <w:rPr>
          <w:sz w:val="20"/>
          <w:szCs w:val="20"/>
        </w:rPr>
        <w:t>A</w:t>
      </w:r>
      <w:r w:rsidR="007124FB" w:rsidRPr="008C4EDE">
        <w:rPr>
          <w:sz w:val="20"/>
          <w:szCs w:val="20"/>
        </w:rPr>
        <w:t>EMT</w:t>
      </w:r>
      <w:r w:rsidR="007124FB">
        <w:rPr>
          <w:sz w:val="20"/>
          <w:szCs w:val="20"/>
        </w:rPr>
        <w:t xml:space="preserve"> and </w:t>
      </w:r>
      <w:r>
        <w:rPr>
          <w:sz w:val="20"/>
          <w:szCs w:val="20"/>
          <w:vertAlign w:val="superscript"/>
        </w:rPr>
        <w:t>4</w:t>
      </w:r>
      <w:bookmarkStart w:id="0" w:name="_GoBack"/>
      <w:bookmarkEnd w:id="0"/>
      <w:r w:rsidR="007124FB">
        <w:rPr>
          <w:sz w:val="20"/>
          <w:szCs w:val="20"/>
        </w:rPr>
        <w:t>EMT-P</w:t>
      </w:r>
      <w:r w:rsidR="007124FB" w:rsidRPr="0042160C">
        <w:rPr>
          <w:sz w:val="20"/>
          <w:szCs w:val="20"/>
        </w:rPr>
        <w:t xml:space="preserve"> providers may perform these procedures if credentialed with the appropriate OM.</w:t>
      </w:r>
    </w:p>
    <w:sectPr w:rsidR="007124FB" w:rsidRPr="00996F86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77D" w:rsidRDefault="00B2577D">
      <w:r>
        <w:separator/>
      </w:r>
    </w:p>
  </w:endnote>
  <w:endnote w:type="continuationSeparator" w:id="0">
    <w:p w:rsidR="00B2577D" w:rsidRDefault="00B2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6A" w:rsidRDefault="007E6D4A" w:rsidP="00641051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F95336E" wp14:editId="49E2FE84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06A">
      <w:rPr>
        <w:sz w:val="16"/>
        <w:szCs w:val="16"/>
      </w:rPr>
      <w:t>_______________________________________________________________________________________________________________________________________</w:t>
    </w:r>
  </w:p>
  <w:p w:rsidR="000E206A" w:rsidRPr="00641051" w:rsidRDefault="000E206A" w:rsidP="00641051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0E206A" w:rsidRPr="00641051" w:rsidRDefault="000E206A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112C94">
      <w:rPr>
        <w:sz w:val="16"/>
        <w:szCs w:val="16"/>
      </w:rPr>
      <w:t xml:space="preserve">ective: </w:t>
    </w:r>
    <w:r w:rsidR="007E6D4A">
      <w:rPr>
        <w:sz w:val="16"/>
        <w:szCs w:val="16"/>
      </w:rPr>
      <w:t>04/01</w:t>
    </w:r>
    <w:r>
      <w:rPr>
        <w:sz w:val="16"/>
        <w:szCs w:val="16"/>
      </w:rPr>
      <w:t>/1</w:t>
    </w:r>
    <w:r w:rsidR="007E6D4A">
      <w:rPr>
        <w:sz w:val="16"/>
        <w:szCs w:val="16"/>
      </w:rPr>
      <w:t>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draft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155F12">
      <w:rPr>
        <w:noProof/>
        <w:sz w:val="16"/>
        <w:szCs w:val="16"/>
      </w:rPr>
      <w:t>3/12/2014</w:t>
    </w:r>
    <w:r>
      <w:rPr>
        <w:sz w:val="16"/>
        <w:szCs w:val="16"/>
      </w:rPr>
      <w:fldChar w:fldCharType="end"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>page</w:t>
    </w:r>
    <w:r>
      <w:rPr>
        <w:sz w:val="16"/>
        <w:szCs w:val="16"/>
      </w:rPr>
      <w:t xml:space="preserve">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PAGE </w:instrText>
    </w:r>
    <w:r w:rsidRPr="008C1A32">
      <w:rPr>
        <w:rStyle w:val="PageNumber"/>
        <w:sz w:val="16"/>
        <w:szCs w:val="16"/>
      </w:rPr>
      <w:fldChar w:fldCharType="separate"/>
    </w:r>
    <w:r w:rsidR="00B2577D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641051">
      <w:rPr>
        <w:sz w:val="16"/>
        <w:szCs w:val="16"/>
      </w:rPr>
      <w:t xml:space="preserve">of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NUMPAGES </w:instrText>
    </w:r>
    <w:r w:rsidRPr="008C1A32">
      <w:rPr>
        <w:rStyle w:val="PageNumber"/>
        <w:sz w:val="16"/>
        <w:szCs w:val="16"/>
      </w:rPr>
      <w:fldChar w:fldCharType="separate"/>
    </w:r>
    <w:r w:rsidR="00B2577D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8C1A32">
      <w:rPr>
        <w:sz w:val="16"/>
        <w:szCs w:val="16"/>
      </w:rP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77D" w:rsidRDefault="00B2577D">
      <w:r>
        <w:separator/>
      </w:r>
    </w:p>
  </w:footnote>
  <w:footnote w:type="continuationSeparator" w:id="0">
    <w:p w:rsidR="00B2577D" w:rsidRDefault="00B2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6A" w:rsidRPr="00641051" w:rsidRDefault="007E6D4A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0E206A" w:rsidRPr="00641051">
          <w:rPr>
            <w:sz w:val="16"/>
            <w:szCs w:val="16"/>
          </w:rPr>
          <w:t>Bonner</w:t>
        </w:r>
      </w:smartTag>
      <w:r w:rsidR="000E206A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0E206A" w:rsidRPr="00641051">
          <w:rPr>
            <w:sz w:val="16"/>
            <w:szCs w:val="16"/>
          </w:rPr>
          <w:t>County</w:t>
        </w:r>
      </w:smartTag>
      <w:r w:rsidR="000E206A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0E206A" w:rsidRPr="00641051">
          <w:rPr>
            <w:sz w:val="16"/>
            <w:szCs w:val="16"/>
          </w:rPr>
          <w:t>EMS</w:t>
        </w:r>
      </w:smartTag>
    </w:smartTag>
    <w:r w:rsidR="000E206A" w:rsidRPr="00641051">
      <w:rPr>
        <w:sz w:val="16"/>
        <w:szCs w:val="16"/>
      </w:rPr>
      <w:t xml:space="preserve"> System</w:t>
    </w:r>
    <w:r w:rsidR="000E206A" w:rsidRPr="00641051">
      <w:rPr>
        <w:sz w:val="16"/>
        <w:szCs w:val="16"/>
      </w:rPr>
      <w:tab/>
      <w:t xml:space="preserve">                           </w:t>
    </w:r>
    <w:r w:rsidR="000E206A">
      <w:rPr>
        <w:sz w:val="16"/>
        <w:szCs w:val="16"/>
      </w:rPr>
      <w:t>Procedures</w:t>
    </w:r>
  </w:p>
  <w:p w:rsidR="000E206A" w:rsidRPr="00641051" w:rsidRDefault="000E206A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>
      <w:rPr>
        <w:sz w:val="16"/>
        <w:szCs w:val="16"/>
      </w:rPr>
      <w:t xml:space="preserve">Trauma: </w:t>
    </w:r>
    <w:r w:rsidR="00663F69">
      <w:rPr>
        <w:sz w:val="16"/>
        <w:szCs w:val="16"/>
      </w:rPr>
      <w:t>Pelvic Sling- 9061</w:t>
    </w:r>
    <w:r w:rsidRPr="00641051">
      <w:rPr>
        <w:sz w:val="16"/>
        <w:szCs w:val="16"/>
      </w:rPr>
      <w:tab/>
    </w:r>
  </w:p>
  <w:p w:rsidR="000E206A" w:rsidRPr="00641051" w:rsidRDefault="000E206A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24928"/>
    <w:rsid w:val="000624B1"/>
    <w:rsid w:val="000705BF"/>
    <w:rsid w:val="0008217C"/>
    <w:rsid w:val="000B26F4"/>
    <w:rsid w:val="000C13B9"/>
    <w:rsid w:val="000E206A"/>
    <w:rsid w:val="000E6B8F"/>
    <w:rsid w:val="000E6C0A"/>
    <w:rsid w:val="00101C6A"/>
    <w:rsid w:val="00102FE8"/>
    <w:rsid w:val="00111A3F"/>
    <w:rsid w:val="001128AD"/>
    <w:rsid w:val="00112C94"/>
    <w:rsid w:val="0011306E"/>
    <w:rsid w:val="00116C14"/>
    <w:rsid w:val="001431A4"/>
    <w:rsid w:val="00155F12"/>
    <w:rsid w:val="00165081"/>
    <w:rsid w:val="001815C6"/>
    <w:rsid w:val="001C738F"/>
    <w:rsid w:val="001D142C"/>
    <w:rsid w:val="001D4DFB"/>
    <w:rsid w:val="001E3DF9"/>
    <w:rsid w:val="001F6820"/>
    <w:rsid w:val="00210526"/>
    <w:rsid w:val="00215AD1"/>
    <w:rsid w:val="002249C4"/>
    <w:rsid w:val="00260BBE"/>
    <w:rsid w:val="002644A2"/>
    <w:rsid w:val="002665F5"/>
    <w:rsid w:val="00275A53"/>
    <w:rsid w:val="002B38AF"/>
    <w:rsid w:val="002C3FF0"/>
    <w:rsid w:val="002E3E3F"/>
    <w:rsid w:val="003053F6"/>
    <w:rsid w:val="0030730B"/>
    <w:rsid w:val="003440CC"/>
    <w:rsid w:val="0035105C"/>
    <w:rsid w:val="00380C6E"/>
    <w:rsid w:val="003A7732"/>
    <w:rsid w:val="003B7C20"/>
    <w:rsid w:val="003C39B3"/>
    <w:rsid w:val="004205C1"/>
    <w:rsid w:val="00426893"/>
    <w:rsid w:val="004465B4"/>
    <w:rsid w:val="00456B81"/>
    <w:rsid w:val="004A3126"/>
    <w:rsid w:val="004B5905"/>
    <w:rsid w:val="004B6747"/>
    <w:rsid w:val="004B6B9A"/>
    <w:rsid w:val="004C1F6C"/>
    <w:rsid w:val="005337A4"/>
    <w:rsid w:val="00553A4B"/>
    <w:rsid w:val="00586F2B"/>
    <w:rsid w:val="0059702C"/>
    <w:rsid w:val="005A6E3C"/>
    <w:rsid w:val="005B295B"/>
    <w:rsid w:val="005C2C9B"/>
    <w:rsid w:val="006173F2"/>
    <w:rsid w:val="006370AB"/>
    <w:rsid w:val="00641051"/>
    <w:rsid w:val="006625F2"/>
    <w:rsid w:val="00663F69"/>
    <w:rsid w:val="00694E8E"/>
    <w:rsid w:val="0069745B"/>
    <w:rsid w:val="006B68B4"/>
    <w:rsid w:val="00704891"/>
    <w:rsid w:val="007124FB"/>
    <w:rsid w:val="00735B8B"/>
    <w:rsid w:val="00755F37"/>
    <w:rsid w:val="007641B1"/>
    <w:rsid w:val="00781CA1"/>
    <w:rsid w:val="007A0F9E"/>
    <w:rsid w:val="007C7A93"/>
    <w:rsid w:val="007D4A4F"/>
    <w:rsid w:val="007D761C"/>
    <w:rsid w:val="007E6D4A"/>
    <w:rsid w:val="007F1BCE"/>
    <w:rsid w:val="008256EE"/>
    <w:rsid w:val="00833423"/>
    <w:rsid w:val="00840B32"/>
    <w:rsid w:val="008524BF"/>
    <w:rsid w:val="00861181"/>
    <w:rsid w:val="00861992"/>
    <w:rsid w:val="0087732E"/>
    <w:rsid w:val="008911C5"/>
    <w:rsid w:val="008A3B57"/>
    <w:rsid w:val="008C1A32"/>
    <w:rsid w:val="008C1B57"/>
    <w:rsid w:val="009104B3"/>
    <w:rsid w:val="00921EE3"/>
    <w:rsid w:val="009244B5"/>
    <w:rsid w:val="00930EC9"/>
    <w:rsid w:val="009310D3"/>
    <w:rsid w:val="009401BA"/>
    <w:rsid w:val="00966976"/>
    <w:rsid w:val="009770C9"/>
    <w:rsid w:val="00995376"/>
    <w:rsid w:val="00996F86"/>
    <w:rsid w:val="00997380"/>
    <w:rsid w:val="00A02D3D"/>
    <w:rsid w:val="00AA3696"/>
    <w:rsid w:val="00AC2F50"/>
    <w:rsid w:val="00AF014F"/>
    <w:rsid w:val="00AF4ED7"/>
    <w:rsid w:val="00B1427B"/>
    <w:rsid w:val="00B1442B"/>
    <w:rsid w:val="00B2577D"/>
    <w:rsid w:val="00B60585"/>
    <w:rsid w:val="00B65856"/>
    <w:rsid w:val="00B767F3"/>
    <w:rsid w:val="00B82F3F"/>
    <w:rsid w:val="00BB3595"/>
    <w:rsid w:val="00BB3F03"/>
    <w:rsid w:val="00BD1F77"/>
    <w:rsid w:val="00C0599A"/>
    <w:rsid w:val="00C15D90"/>
    <w:rsid w:val="00C430CE"/>
    <w:rsid w:val="00C560A6"/>
    <w:rsid w:val="00C56A8B"/>
    <w:rsid w:val="00C60DF5"/>
    <w:rsid w:val="00C73DD7"/>
    <w:rsid w:val="00CA6D24"/>
    <w:rsid w:val="00CB581A"/>
    <w:rsid w:val="00CB6CA8"/>
    <w:rsid w:val="00CD0B2F"/>
    <w:rsid w:val="00CD502F"/>
    <w:rsid w:val="00CE6B8C"/>
    <w:rsid w:val="00CF0513"/>
    <w:rsid w:val="00D57840"/>
    <w:rsid w:val="00D65D0A"/>
    <w:rsid w:val="00D7017D"/>
    <w:rsid w:val="00D86F6F"/>
    <w:rsid w:val="00E06E43"/>
    <w:rsid w:val="00E7107E"/>
    <w:rsid w:val="00E752E5"/>
    <w:rsid w:val="00E80CDF"/>
    <w:rsid w:val="00E9169F"/>
    <w:rsid w:val="00EB25EE"/>
    <w:rsid w:val="00EC0888"/>
    <w:rsid w:val="00EF3FB8"/>
    <w:rsid w:val="00F047E2"/>
    <w:rsid w:val="00F61F01"/>
    <w:rsid w:val="00F9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3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37A4"/>
    <w:rPr>
      <w:rFonts w:ascii="Tahoma" w:hAnsi="Tahoma" w:cs="Tahoma"/>
      <w:sz w:val="16"/>
      <w:szCs w:val="16"/>
    </w:rPr>
  </w:style>
  <w:style w:type="character" w:styleId="Strong">
    <w:name w:val="Strong"/>
    <w:qFormat/>
    <w:rsid w:val="003510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3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37A4"/>
    <w:rPr>
      <w:rFonts w:ascii="Tahoma" w:hAnsi="Tahoma" w:cs="Tahoma"/>
      <w:sz w:val="16"/>
      <w:szCs w:val="16"/>
    </w:rPr>
  </w:style>
  <w:style w:type="character" w:styleId="Strong">
    <w:name w:val="Strong"/>
    <w:qFormat/>
    <w:rsid w:val="003510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14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7</cp:revision>
  <cp:lastPrinted>2014-03-13T03:41:00Z</cp:lastPrinted>
  <dcterms:created xsi:type="dcterms:W3CDTF">2014-02-02T23:30:00Z</dcterms:created>
  <dcterms:modified xsi:type="dcterms:W3CDTF">2014-03-13T03:41:00Z</dcterms:modified>
</cp:coreProperties>
</file>