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2E" w:rsidRDefault="00057A7D" w:rsidP="00A508B0">
      <w:pPr>
        <w:rPr>
          <w:rFonts w:ascii="Tahoma" w:hAnsi="Tahoma" w:cs="Tahoma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Tahoma" w:hAnsi="Tahoma" w:cs="Tahoma"/>
          <w:b/>
          <w:caps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-530860</wp:posOffset>
            </wp:positionV>
            <wp:extent cx="1138555" cy="1069975"/>
            <wp:effectExtent l="0" t="0" r="0" b="0"/>
            <wp:wrapNone/>
            <wp:docPr id="6" name="Picture 6" descr="new bcem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 bcems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165">
        <w:rPr>
          <w:rFonts w:ascii="Tahoma" w:hAnsi="Tahoma" w:cs="Tahoma"/>
          <w:b/>
          <w:sz w:val="36"/>
          <w:szCs w:val="36"/>
          <w:u w:val="single"/>
        </w:rPr>
        <w:t xml:space="preserve"> </w:t>
      </w:r>
    </w:p>
    <w:p w:rsidR="002249C4" w:rsidRPr="005E51A4" w:rsidRDefault="00531B58">
      <w:pPr>
        <w:jc w:val="center"/>
        <w:rPr>
          <w:rFonts w:ascii="Tahoma" w:hAnsi="Tahoma" w:cs="Tahoma"/>
          <w:b/>
          <w:caps/>
          <w:sz w:val="36"/>
          <w:szCs w:val="36"/>
          <w:u w:val="single"/>
        </w:rPr>
      </w:pPr>
      <w:r w:rsidRPr="005E51A4">
        <w:rPr>
          <w:rFonts w:ascii="Tahoma" w:hAnsi="Tahoma" w:cs="Tahoma"/>
          <w:b/>
          <w:caps/>
          <w:sz w:val="36"/>
          <w:szCs w:val="36"/>
          <w:u w:val="single"/>
        </w:rPr>
        <w:t>Medication Assisted Airway (RSI)</w:t>
      </w:r>
    </w:p>
    <w:p w:rsidR="002249C4" w:rsidRPr="002302F3" w:rsidRDefault="00057A7D" w:rsidP="002302F3">
      <w:pPr>
        <w:jc w:val="center"/>
        <w:rPr>
          <w:b/>
          <w:caps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161290</wp:posOffset>
                </wp:positionV>
                <wp:extent cx="5715000" cy="0"/>
                <wp:effectExtent l="9525" t="8890" r="9525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2.7pt" to="47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7e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x2ya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"/>
            </w:pict>
          </mc:Fallback>
        </mc:AlternateContent>
      </w:r>
    </w:p>
    <w:p w:rsidR="00613A2E" w:rsidRPr="00531B58" w:rsidRDefault="00531B58" w:rsidP="00531B58">
      <w:pPr>
        <w:tabs>
          <w:tab w:val="left" w:pos="1815"/>
        </w:tabs>
        <w:jc w:val="center"/>
        <w:rPr>
          <w:rFonts w:ascii="Tahoma" w:hAnsi="Tahoma" w:cs="Tahoma"/>
          <w:b/>
          <w:color w:val="0000FF"/>
        </w:rPr>
      </w:pPr>
      <w:r w:rsidRPr="00AA5675">
        <w:rPr>
          <w:rFonts w:ascii="Tahoma" w:hAnsi="Tahoma" w:cs="Tahoma"/>
          <w:b/>
          <w:color w:val="0000FF"/>
        </w:rPr>
        <w:t>Clinical Indications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ook w:val="01E0" w:firstRow="1" w:lastRow="1" w:firstColumn="1" w:lastColumn="1" w:noHBand="0" w:noVBand="0"/>
      </w:tblPr>
      <w:tblGrid>
        <w:gridCol w:w="10908"/>
      </w:tblGrid>
      <w:tr w:rsidR="00531B58" w:rsidTr="0041645D">
        <w:tc>
          <w:tcPr>
            <w:tcW w:w="10908" w:type="dxa"/>
            <w:shd w:val="clear" w:color="auto" w:fill="FFCC99"/>
          </w:tcPr>
          <w:p w:rsidR="0079303A" w:rsidRDefault="0079303A" w:rsidP="00AE2B60">
            <w:pPr>
              <w:numPr>
                <w:ilvl w:val="0"/>
                <w:numId w:val="1"/>
              </w:numPr>
              <w:tabs>
                <w:tab w:val="left" w:pos="181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This procedure provides guidelines for successful rapid sequence endotracheal intubation (RSI).</w:t>
            </w:r>
          </w:p>
          <w:p w:rsidR="0079303A" w:rsidRDefault="0079303A" w:rsidP="00AE2B60">
            <w:pPr>
              <w:numPr>
                <w:ilvl w:val="0"/>
                <w:numId w:val="1"/>
              </w:numPr>
              <w:tabs>
                <w:tab w:val="left" w:pos="181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Patients requiring RSI may include those where the paramedic expects difficulty in securing the airwa</w:t>
            </w:r>
            <w:r w:rsidR="00EB5F03">
              <w:rPr>
                <w:rFonts w:ascii="Tahoma" w:hAnsi="Tahoma" w:cs="Tahoma"/>
                <w:sz w:val="20"/>
                <w:szCs w:val="20"/>
              </w:rPr>
              <w:t>y, status epilepticus (seizures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unresolved with anticonvulsants and inadequate respirations</w:t>
            </w:r>
            <w:r w:rsidR="00EB5F03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="000D360C">
              <w:rPr>
                <w:rFonts w:ascii="Tahoma" w:hAnsi="Tahoma" w:cs="Tahoma"/>
                <w:sz w:val="20"/>
                <w:szCs w:val="20"/>
              </w:rPr>
              <w:t xml:space="preserve"> isolated head trauma, </w:t>
            </w:r>
            <w:r w:rsidR="002302F3">
              <w:rPr>
                <w:rFonts w:ascii="Tahoma" w:hAnsi="Tahoma" w:cs="Tahoma"/>
                <w:sz w:val="20"/>
                <w:szCs w:val="20"/>
              </w:rPr>
              <w:t>CVA</w:t>
            </w:r>
            <w:r w:rsidR="000D360C">
              <w:rPr>
                <w:rFonts w:ascii="Tahoma" w:hAnsi="Tahoma" w:cs="Tahoma"/>
                <w:sz w:val="20"/>
                <w:szCs w:val="20"/>
              </w:rPr>
              <w:t xml:space="preserve">, multiple system trauma, overdose, acute pulmonary edema, respiratory failure, </w:t>
            </w:r>
            <w:r w:rsidR="001F1302">
              <w:rPr>
                <w:rFonts w:ascii="Tahoma" w:hAnsi="Tahoma" w:cs="Tahoma"/>
                <w:sz w:val="20"/>
                <w:szCs w:val="20"/>
              </w:rPr>
              <w:t xml:space="preserve">and </w:t>
            </w:r>
            <w:r w:rsidR="000D360C">
              <w:rPr>
                <w:rFonts w:ascii="Tahoma" w:hAnsi="Tahoma" w:cs="Tahoma"/>
                <w:sz w:val="20"/>
                <w:szCs w:val="20"/>
              </w:rPr>
              <w:t>severe burns</w:t>
            </w:r>
            <w:r w:rsidR="001F1302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31B58" w:rsidRPr="0079303A" w:rsidRDefault="0079303A" w:rsidP="002302F3">
            <w:pPr>
              <w:numPr>
                <w:ilvl w:val="0"/>
                <w:numId w:val="1"/>
              </w:numPr>
              <w:tabs>
                <w:tab w:val="left" w:pos="181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RSI is utilized for patients unable to maintain a patent airway when there is adequate manpower and equipment</w:t>
            </w:r>
            <w:r w:rsidR="002302F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2249C4" w:rsidRDefault="002249C4">
      <w:pPr>
        <w:tabs>
          <w:tab w:val="left" w:pos="1815"/>
        </w:tabs>
        <w:jc w:val="center"/>
        <w:rPr>
          <w:rFonts w:ascii="Tahoma" w:hAnsi="Tahoma" w:cs="Tahoma"/>
          <w:b/>
          <w:sz w:val="16"/>
          <w:szCs w:val="16"/>
        </w:rPr>
      </w:pPr>
    </w:p>
    <w:p w:rsidR="002249C4" w:rsidRDefault="002249C4">
      <w:pPr>
        <w:tabs>
          <w:tab w:val="left" w:pos="1815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TREATMENT GUIDELINES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710"/>
        <w:gridCol w:w="2070"/>
        <w:gridCol w:w="1800"/>
        <w:gridCol w:w="1980"/>
        <w:gridCol w:w="2880"/>
      </w:tblGrid>
      <w:tr w:rsidR="00101C6A">
        <w:tc>
          <w:tcPr>
            <w:tcW w:w="1710" w:type="dxa"/>
            <w:shd w:val="clear" w:color="auto" w:fill="99CCFF"/>
          </w:tcPr>
          <w:p w:rsidR="00101C6A" w:rsidRDefault="0069745B">
            <w:pPr>
              <w:tabs>
                <w:tab w:val="left" w:pos="181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 w:rsidR="00101C6A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="0079303A">
              <w:rPr>
                <w:rFonts w:ascii="Tahoma" w:hAnsi="Tahoma" w:cs="Tahoma"/>
                <w:b/>
                <w:sz w:val="20"/>
                <w:szCs w:val="20"/>
              </w:rPr>
              <w:t>EMR</w:t>
            </w:r>
          </w:p>
        </w:tc>
        <w:tc>
          <w:tcPr>
            <w:tcW w:w="2070" w:type="dxa"/>
            <w:shd w:val="clear" w:color="auto" w:fill="CCFFCC"/>
          </w:tcPr>
          <w:p w:rsidR="00101C6A" w:rsidRDefault="0079303A" w:rsidP="0079303A">
            <w:pPr>
              <w:tabs>
                <w:tab w:val="left" w:pos="181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E–EMT</w:t>
            </w:r>
          </w:p>
        </w:tc>
        <w:tc>
          <w:tcPr>
            <w:tcW w:w="1800" w:type="dxa"/>
            <w:shd w:val="clear" w:color="auto" w:fill="FFFF99"/>
          </w:tcPr>
          <w:p w:rsidR="00101C6A" w:rsidRDefault="00101C6A">
            <w:pPr>
              <w:tabs>
                <w:tab w:val="left" w:pos="181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A-</w:t>
            </w:r>
            <w:r w:rsidR="0079303A">
              <w:rPr>
                <w:rFonts w:ascii="Tahoma" w:hAnsi="Tahoma" w:cs="Tahoma"/>
                <w:b/>
                <w:sz w:val="20"/>
                <w:szCs w:val="20"/>
              </w:rPr>
              <w:t>AEMT</w:t>
            </w:r>
          </w:p>
        </w:tc>
        <w:tc>
          <w:tcPr>
            <w:tcW w:w="1980" w:type="dxa"/>
            <w:shd w:val="clear" w:color="auto" w:fill="FF99CC"/>
          </w:tcPr>
          <w:p w:rsidR="00101C6A" w:rsidRDefault="00101C6A">
            <w:pPr>
              <w:tabs>
                <w:tab w:val="left" w:pos="181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P-PARAMEDIC</w:t>
            </w:r>
          </w:p>
        </w:tc>
        <w:tc>
          <w:tcPr>
            <w:tcW w:w="2880" w:type="dxa"/>
            <w:shd w:val="clear" w:color="auto" w:fill="FF0000"/>
          </w:tcPr>
          <w:p w:rsidR="00101C6A" w:rsidRPr="0069745B" w:rsidRDefault="00101C6A" w:rsidP="00553A4B">
            <w:pPr>
              <w:tabs>
                <w:tab w:val="left" w:pos="1815"/>
              </w:tabs>
              <w:rPr>
                <w:rFonts w:ascii="Tahoma" w:hAnsi="Tahoma" w:cs="Tahoma"/>
                <w:b/>
                <w:color w:val="FFFFFF"/>
                <w:sz w:val="28"/>
                <w:szCs w:val="28"/>
              </w:rPr>
            </w:pPr>
            <w:r w:rsidRPr="0069745B">
              <w:rPr>
                <w:rFonts w:ascii="Tahoma" w:hAnsi="Tahoma" w:cs="Tahoma"/>
                <w:b/>
                <w:color w:val="FFFFFF"/>
                <w:sz w:val="28"/>
                <w:szCs w:val="28"/>
              </w:rPr>
              <w:t>**</w:t>
            </w:r>
            <w:r w:rsidRPr="0069745B">
              <w:rPr>
                <w:rFonts w:ascii="Tahoma" w:hAnsi="Tahoma" w:cs="Tahoma"/>
                <w:b/>
                <w:color w:val="FFFFFF"/>
                <w:sz w:val="20"/>
                <w:szCs w:val="20"/>
              </w:rPr>
              <w:t xml:space="preserve">M-Medical Control </w:t>
            </w:r>
            <w:r w:rsidRPr="0069745B">
              <w:rPr>
                <w:rFonts w:ascii="Tahoma" w:hAnsi="Tahoma" w:cs="Tahoma"/>
                <w:b/>
                <w:color w:val="FFFFFF"/>
                <w:sz w:val="28"/>
                <w:szCs w:val="28"/>
              </w:rPr>
              <w:t>**</w:t>
            </w:r>
          </w:p>
        </w:tc>
      </w:tr>
    </w:tbl>
    <w:p w:rsidR="002249C4" w:rsidRDefault="005649B3">
      <w:pPr>
        <w:tabs>
          <w:tab w:val="left" w:pos="1815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***Higher level</w:t>
      </w:r>
      <w:r w:rsidR="002249C4">
        <w:rPr>
          <w:rFonts w:ascii="Tahoma" w:hAnsi="Tahoma" w:cs="Tahoma"/>
          <w:b/>
          <w:sz w:val="20"/>
          <w:szCs w:val="20"/>
        </w:rPr>
        <w:t xml:space="preserve"> providers are responsible for lower level treatments***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10368"/>
        <w:gridCol w:w="540"/>
      </w:tblGrid>
      <w:tr w:rsidR="0069745B">
        <w:trPr>
          <w:trHeight w:val="1988"/>
        </w:trPr>
        <w:tc>
          <w:tcPr>
            <w:tcW w:w="10368" w:type="dxa"/>
            <w:tcBorders>
              <w:bottom w:val="single" w:sz="4" w:space="0" w:color="auto"/>
            </w:tcBorders>
            <w:shd w:val="clear" w:color="auto" w:fill="FF99CC"/>
          </w:tcPr>
          <w:p w:rsidR="0069745B" w:rsidRPr="00B819B0" w:rsidRDefault="001F1302" w:rsidP="00D46F9C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Pre-oxy</w:t>
            </w:r>
            <w:r w:rsidR="00AE2B60" w:rsidRPr="00B819B0">
              <w:rPr>
                <w:rFonts w:ascii="Tahoma" w:hAnsi="Tahoma" w:cs="Tahoma"/>
              </w:rPr>
              <w:t>genate</w:t>
            </w:r>
            <w:r w:rsidR="00E51B4C">
              <w:rPr>
                <w:rFonts w:ascii="Tahoma" w:hAnsi="Tahoma" w:cs="Tahoma"/>
              </w:rPr>
              <w:t xml:space="preserve"> (9006)</w:t>
            </w:r>
            <w:r w:rsidR="00AE2B60" w:rsidRPr="00B819B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with bag-valve-mask </w:t>
            </w:r>
            <w:r w:rsidR="00AE2B60" w:rsidRPr="00B819B0">
              <w:rPr>
                <w:rFonts w:ascii="Tahoma" w:hAnsi="Tahoma" w:cs="Tahoma"/>
              </w:rPr>
              <w:t xml:space="preserve">while assembling </w:t>
            </w:r>
            <w:r w:rsidR="00B819B0">
              <w:rPr>
                <w:rFonts w:ascii="Tahoma" w:hAnsi="Tahoma" w:cs="Tahoma"/>
              </w:rPr>
              <w:t>equipment</w:t>
            </w:r>
            <w:r w:rsidR="002302F3">
              <w:rPr>
                <w:rFonts w:ascii="Tahoma" w:hAnsi="Tahoma" w:cs="Tahoma"/>
              </w:rPr>
              <w:t xml:space="preserve"> (</w:t>
            </w:r>
            <w:r>
              <w:rPr>
                <w:rFonts w:ascii="Tahoma" w:hAnsi="Tahoma" w:cs="Tahoma"/>
              </w:rPr>
              <w:t>2-3 min)</w:t>
            </w:r>
            <w:r w:rsidR="00613A2E" w:rsidRPr="00B819B0">
              <w:rPr>
                <w:rFonts w:ascii="Tahoma" w:hAnsi="Tahoma" w:cs="Tahoma"/>
              </w:rPr>
              <w:t>.</w:t>
            </w:r>
          </w:p>
          <w:p w:rsidR="00AE2B60" w:rsidRDefault="00AE2B60" w:rsidP="00D46F9C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B819B0">
              <w:rPr>
                <w:rFonts w:ascii="Tahoma" w:hAnsi="Tahoma" w:cs="Tahoma"/>
              </w:rPr>
              <w:t>Have secondary airway immediately available</w:t>
            </w:r>
            <w:r w:rsidR="00613A2E" w:rsidRPr="00B819B0">
              <w:rPr>
                <w:rFonts w:ascii="Tahoma" w:hAnsi="Tahoma" w:cs="Tahoma"/>
              </w:rPr>
              <w:t>.</w:t>
            </w:r>
            <w:r w:rsidR="00EB5F03">
              <w:rPr>
                <w:rFonts w:ascii="Tahoma" w:hAnsi="Tahoma" w:cs="Tahoma"/>
              </w:rPr>
              <w:t xml:space="preserve">  Evaluate for difficult BVM ventilation</w:t>
            </w:r>
            <w:r w:rsidR="00237E20">
              <w:rPr>
                <w:rFonts w:ascii="Tahoma" w:hAnsi="Tahoma" w:cs="Tahoma"/>
              </w:rPr>
              <w:t xml:space="preserve"> (MOANS), and indicators for difficult intubation (LEMONS) or Cricothyrotomy (DOA).</w:t>
            </w:r>
          </w:p>
          <w:p w:rsidR="001F1302" w:rsidRDefault="001F1302" w:rsidP="00D46F9C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Consider Lidocaine 1 mg/kg IV/IO for evidence of head injury or stroke or suspected increased intracranial pressure (ICP).</w:t>
            </w:r>
          </w:p>
          <w:p w:rsidR="00B819B0" w:rsidRPr="00B819B0" w:rsidRDefault="00B819B0" w:rsidP="00D46F9C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Before administration </w:t>
            </w:r>
            <w:r w:rsidR="002302F3">
              <w:rPr>
                <w:rFonts w:ascii="Tahoma" w:hAnsi="Tahoma" w:cs="Tahoma"/>
              </w:rPr>
              <w:t>of a</w:t>
            </w:r>
            <w:r>
              <w:rPr>
                <w:rFonts w:ascii="Tahoma" w:hAnsi="Tahoma" w:cs="Tahoma"/>
              </w:rPr>
              <w:t xml:space="preserve"> paralytic drug, s</w:t>
            </w:r>
            <w:r w:rsidR="00D2306B">
              <w:rPr>
                <w:rFonts w:ascii="Tahoma" w:hAnsi="Tahoma" w:cs="Tahoma"/>
              </w:rPr>
              <w:t>creen for contraindications, do</w:t>
            </w:r>
            <w:r>
              <w:rPr>
                <w:rFonts w:ascii="Tahoma" w:hAnsi="Tahoma" w:cs="Tahoma"/>
              </w:rPr>
              <w:t xml:space="preserve"> neurologic exam.</w:t>
            </w:r>
          </w:p>
          <w:p w:rsidR="00AE2B60" w:rsidRPr="00B819B0" w:rsidRDefault="00B819B0" w:rsidP="00D46F9C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Administer Etomidate</w:t>
            </w:r>
            <w:r w:rsidR="00AE2B60" w:rsidRPr="00B819B0">
              <w:rPr>
                <w:rFonts w:ascii="Tahoma" w:hAnsi="Tahoma" w:cs="Tahoma"/>
              </w:rPr>
              <w:t xml:space="preserve"> 0.3mg/kg </w:t>
            </w:r>
            <w:r>
              <w:rPr>
                <w:rFonts w:ascii="Tahoma" w:hAnsi="Tahoma" w:cs="Tahoma"/>
              </w:rPr>
              <w:t>I</w:t>
            </w:r>
            <w:r w:rsidR="00AE2B60" w:rsidRPr="00B819B0">
              <w:rPr>
                <w:rFonts w:ascii="Tahoma" w:hAnsi="Tahoma" w:cs="Tahoma"/>
              </w:rPr>
              <w:t>V</w:t>
            </w:r>
            <w:r w:rsidR="00A14C00" w:rsidRPr="00B819B0">
              <w:rPr>
                <w:rFonts w:ascii="Tahoma" w:hAnsi="Tahoma" w:cs="Tahoma"/>
              </w:rPr>
              <w:t>/IO</w:t>
            </w:r>
            <w:r w:rsidR="00E51B4C">
              <w:rPr>
                <w:rFonts w:ascii="Tahoma" w:hAnsi="Tahoma" w:cs="Tahoma"/>
              </w:rPr>
              <w:t>, or Ketamine 1-2 mg/kg IV/IO.  Ketamine is preferred in the settings of hypotension or clinical indicators for shock.</w:t>
            </w:r>
          </w:p>
          <w:p w:rsidR="00AE2B60" w:rsidRPr="00B819B0" w:rsidRDefault="00AE2B60" w:rsidP="00D46F9C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B819B0">
              <w:rPr>
                <w:rFonts w:ascii="Tahoma" w:hAnsi="Tahoma" w:cs="Tahoma"/>
              </w:rPr>
              <w:t>After 30 seconds assess patient and consider intubation via sedation only</w:t>
            </w:r>
            <w:r w:rsidR="00E92C4F" w:rsidRPr="00B819B0">
              <w:rPr>
                <w:rFonts w:ascii="Tahoma" w:hAnsi="Tahoma" w:cs="Tahoma"/>
              </w:rPr>
              <w:t>.</w:t>
            </w:r>
          </w:p>
          <w:p w:rsidR="00AE2B60" w:rsidRPr="00B819B0" w:rsidRDefault="00E92C4F" w:rsidP="00AE2B60">
            <w:pPr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ahoma" w:hAnsi="Tahoma" w:cs="Tahoma"/>
              </w:rPr>
            </w:pPr>
            <w:r w:rsidRPr="00B819B0">
              <w:rPr>
                <w:rFonts w:ascii="Tahoma" w:hAnsi="Tahoma" w:cs="Tahoma"/>
              </w:rPr>
              <w:t>Consider F</w:t>
            </w:r>
            <w:r w:rsidR="002302F3">
              <w:rPr>
                <w:rFonts w:ascii="Tahoma" w:hAnsi="Tahoma" w:cs="Tahoma"/>
              </w:rPr>
              <w:t>entanyl</w:t>
            </w:r>
            <w:r w:rsidR="00A7222F">
              <w:rPr>
                <w:rFonts w:ascii="Tahoma" w:hAnsi="Tahoma" w:cs="Tahoma"/>
              </w:rPr>
              <w:t xml:space="preserve"> </w:t>
            </w:r>
            <w:r w:rsidR="00AE2B60" w:rsidRPr="00B819B0">
              <w:rPr>
                <w:rFonts w:ascii="Tahoma" w:hAnsi="Tahoma" w:cs="Tahoma"/>
              </w:rPr>
              <w:t>particular</w:t>
            </w:r>
            <w:r w:rsidRPr="00B819B0">
              <w:rPr>
                <w:rFonts w:ascii="Tahoma" w:hAnsi="Tahoma" w:cs="Tahoma"/>
              </w:rPr>
              <w:t>l</w:t>
            </w:r>
            <w:r w:rsidR="00AE2B60" w:rsidRPr="00B819B0">
              <w:rPr>
                <w:rFonts w:ascii="Tahoma" w:hAnsi="Tahoma" w:cs="Tahoma"/>
              </w:rPr>
              <w:t>y in pediatrics and trauma</w:t>
            </w:r>
            <w:r w:rsidR="00A7222F">
              <w:rPr>
                <w:rFonts w:ascii="Tahoma" w:hAnsi="Tahoma" w:cs="Tahoma"/>
              </w:rPr>
              <w:t xml:space="preserve"> (note: Fentanyl may increase ICP in head trauma patients</w:t>
            </w:r>
            <w:r w:rsidR="00AE2B60" w:rsidRPr="00B819B0">
              <w:rPr>
                <w:rFonts w:ascii="Tahoma" w:hAnsi="Tahoma" w:cs="Tahoma"/>
              </w:rPr>
              <w:t>) 0.5</w:t>
            </w:r>
            <w:r w:rsidR="00B819B0">
              <w:rPr>
                <w:rFonts w:ascii="Tahoma" w:hAnsi="Tahoma" w:cs="Tahoma"/>
              </w:rPr>
              <w:t xml:space="preserve">-2.0 </w:t>
            </w:r>
            <w:r w:rsidR="00AE2B60" w:rsidRPr="00B819B0">
              <w:rPr>
                <w:rFonts w:ascii="Tahoma" w:hAnsi="Tahoma" w:cs="Tahoma"/>
              </w:rPr>
              <w:t>mg/kg</w:t>
            </w:r>
            <w:r w:rsidR="00A14C00" w:rsidRPr="00B819B0">
              <w:rPr>
                <w:rFonts w:ascii="Tahoma" w:hAnsi="Tahoma" w:cs="Tahoma"/>
              </w:rPr>
              <w:t>-</w:t>
            </w:r>
            <w:r w:rsidR="00AE2B60" w:rsidRPr="00B819B0">
              <w:rPr>
                <w:rFonts w:ascii="Tahoma" w:hAnsi="Tahoma" w:cs="Tahoma"/>
              </w:rPr>
              <w:t xml:space="preserve"> IV</w:t>
            </w:r>
            <w:r w:rsidR="00A14C00" w:rsidRPr="00B819B0">
              <w:rPr>
                <w:rFonts w:ascii="Tahoma" w:hAnsi="Tahoma" w:cs="Tahoma"/>
              </w:rPr>
              <w:t>/IO</w:t>
            </w:r>
            <w:r w:rsidRPr="00B819B0">
              <w:rPr>
                <w:rFonts w:ascii="Tahoma" w:hAnsi="Tahoma" w:cs="Tahoma"/>
              </w:rPr>
              <w:t>.</w:t>
            </w:r>
          </w:p>
          <w:p w:rsidR="00AE2B60" w:rsidRDefault="00AE2B60" w:rsidP="00AE2B60">
            <w:pPr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ahoma" w:hAnsi="Tahoma" w:cs="Tahoma"/>
                <w:lang w:val="pt-BR"/>
              </w:rPr>
            </w:pPr>
            <w:r w:rsidRPr="00B819B0">
              <w:rPr>
                <w:rFonts w:ascii="Tahoma" w:hAnsi="Tahoma" w:cs="Tahoma"/>
                <w:lang w:val="pt-BR"/>
              </w:rPr>
              <w:t>Administer R</w:t>
            </w:r>
            <w:r w:rsidR="002302F3">
              <w:rPr>
                <w:rFonts w:ascii="Tahoma" w:hAnsi="Tahoma" w:cs="Tahoma"/>
                <w:lang w:val="pt-BR"/>
              </w:rPr>
              <w:t>ocuronium</w:t>
            </w:r>
            <w:r w:rsidR="00A705FA">
              <w:rPr>
                <w:rFonts w:ascii="Tahoma" w:hAnsi="Tahoma" w:cs="Tahoma"/>
                <w:lang w:val="pt-BR"/>
              </w:rPr>
              <w:t xml:space="preserve"> 1.0 </w:t>
            </w:r>
            <w:r w:rsidRPr="00B819B0">
              <w:rPr>
                <w:rFonts w:ascii="Tahoma" w:hAnsi="Tahoma" w:cs="Tahoma"/>
                <w:lang w:val="pt-BR"/>
              </w:rPr>
              <w:t xml:space="preserve">mg/kg </w:t>
            </w:r>
            <w:r w:rsidR="00A14C00" w:rsidRPr="00B819B0">
              <w:rPr>
                <w:rFonts w:ascii="Tahoma" w:hAnsi="Tahoma" w:cs="Tahoma"/>
                <w:lang w:val="pt-BR"/>
              </w:rPr>
              <w:t>-</w:t>
            </w:r>
            <w:r w:rsidRPr="00B819B0">
              <w:rPr>
                <w:rFonts w:ascii="Tahoma" w:hAnsi="Tahoma" w:cs="Tahoma"/>
                <w:lang w:val="pt-BR"/>
              </w:rPr>
              <w:t>IV</w:t>
            </w:r>
            <w:r w:rsidR="00A14C00" w:rsidRPr="00B819B0">
              <w:rPr>
                <w:rFonts w:ascii="Tahoma" w:hAnsi="Tahoma" w:cs="Tahoma"/>
                <w:lang w:val="pt-BR"/>
              </w:rPr>
              <w:t>/IO</w:t>
            </w:r>
            <w:r w:rsidR="000C3544">
              <w:rPr>
                <w:rFonts w:ascii="Tahoma" w:hAnsi="Tahoma" w:cs="Tahoma"/>
                <w:lang w:val="pt-BR"/>
              </w:rPr>
              <w:t>, or Succinylcholine 1.5</w:t>
            </w:r>
            <w:r w:rsidR="00B819B0">
              <w:rPr>
                <w:rFonts w:ascii="Tahoma" w:hAnsi="Tahoma" w:cs="Tahoma"/>
                <w:lang w:val="pt-BR"/>
              </w:rPr>
              <w:t xml:space="preserve"> mg/kg IV/IO.</w:t>
            </w:r>
          </w:p>
          <w:p w:rsidR="002302F3" w:rsidRDefault="002302F3" w:rsidP="00AE2B60">
            <w:pPr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ahoma" w:hAnsi="Tahoma" w:cs="Tahoma"/>
                <w:lang w:val="pt-BR"/>
              </w:rPr>
            </w:pPr>
            <w:r>
              <w:rPr>
                <w:rFonts w:ascii="Tahoma" w:hAnsi="Tahoma" w:cs="Tahoma"/>
                <w:lang w:val="pt-BR"/>
              </w:rPr>
              <w:t>Apply cricoid pressure to occlude the esophagus.</w:t>
            </w:r>
          </w:p>
          <w:p w:rsidR="00AE2B60" w:rsidRPr="002302F3" w:rsidRDefault="002302F3" w:rsidP="002302F3">
            <w:pPr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ahoma" w:hAnsi="Tahoma" w:cs="Tahoma"/>
                <w:lang w:val="pt-BR"/>
              </w:rPr>
            </w:pPr>
            <w:r>
              <w:rPr>
                <w:rFonts w:ascii="Tahoma" w:hAnsi="Tahoma" w:cs="Tahoma"/>
                <w:lang w:val="pt-BR"/>
              </w:rPr>
              <w:t xml:space="preserve">As fasiculations stop jaw relaxes and resistance to ventilations diminishes, proceed with intubation.  </w:t>
            </w:r>
            <w:r w:rsidR="00AE2B60" w:rsidRPr="002302F3">
              <w:rPr>
                <w:rFonts w:ascii="Tahoma" w:hAnsi="Tahoma" w:cs="Tahoma"/>
              </w:rPr>
              <w:t>Attempt intubation up to 3 times</w:t>
            </w:r>
            <w:r w:rsidR="00E92C4F" w:rsidRPr="002302F3">
              <w:rPr>
                <w:rFonts w:ascii="Tahoma" w:hAnsi="Tahoma" w:cs="Tahoma"/>
              </w:rPr>
              <w:t>; oxygenate between attempts.</w:t>
            </w:r>
          </w:p>
          <w:p w:rsidR="00A14C00" w:rsidRPr="00B819B0" w:rsidRDefault="00A14C00" w:rsidP="00AE2B60">
            <w:pPr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ahoma" w:hAnsi="Tahoma" w:cs="Tahoma"/>
              </w:rPr>
            </w:pPr>
            <w:r w:rsidRPr="00B819B0">
              <w:rPr>
                <w:rFonts w:ascii="Tahoma" w:hAnsi="Tahoma" w:cs="Tahoma"/>
              </w:rPr>
              <w:t>If unable to intubate after 3 attempts, utilize secondary airway</w:t>
            </w:r>
            <w:r w:rsidR="00A7222F">
              <w:rPr>
                <w:rFonts w:ascii="Tahoma" w:hAnsi="Tahoma" w:cs="Tahoma"/>
              </w:rPr>
              <w:t xml:space="preserve"> such as a King Blind Insertion A</w:t>
            </w:r>
            <w:r w:rsidR="00B819B0">
              <w:rPr>
                <w:rFonts w:ascii="Tahoma" w:hAnsi="Tahoma" w:cs="Tahoma"/>
              </w:rPr>
              <w:t>irway device (BIAD</w:t>
            </w:r>
            <w:r w:rsidR="00103380">
              <w:rPr>
                <w:rFonts w:ascii="Tahoma" w:hAnsi="Tahoma" w:cs="Tahoma"/>
              </w:rPr>
              <w:t>-9007</w:t>
            </w:r>
            <w:r w:rsidR="00B819B0">
              <w:rPr>
                <w:rFonts w:ascii="Tahoma" w:hAnsi="Tahoma" w:cs="Tahoma"/>
              </w:rPr>
              <w:t>)</w:t>
            </w:r>
            <w:r w:rsidR="00E92C4F" w:rsidRPr="00B819B0">
              <w:rPr>
                <w:rFonts w:ascii="Tahoma" w:hAnsi="Tahoma" w:cs="Tahoma"/>
              </w:rPr>
              <w:t>.</w:t>
            </w:r>
          </w:p>
          <w:p w:rsidR="00963F59" w:rsidRPr="00484852" w:rsidRDefault="00963F59" w:rsidP="00A14C00">
            <w:pPr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ahoma" w:hAnsi="Tahoma" w:cs="Tahoma"/>
              </w:rPr>
            </w:pPr>
            <w:r w:rsidRPr="00B819B0">
              <w:rPr>
                <w:rFonts w:ascii="Tahoma" w:hAnsi="Tahoma" w:cs="Tahoma"/>
              </w:rPr>
              <w:t xml:space="preserve">Confirm </w:t>
            </w:r>
            <w:r w:rsidR="002302F3">
              <w:rPr>
                <w:rFonts w:ascii="Tahoma" w:hAnsi="Tahoma" w:cs="Tahoma"/>
              </w:rPr>
              <w:t>endotracheal tube placement and inflate cuff.</w:t>
            </w:r>
          </w:p>
          <w:p w:rsidR="00484852" w:rsidRDefault="00963F59" w:rsidP="002302F3">
            <w:pPr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ahoma" w:hAnsi="Tahoma" w:cs="Tahoma"/>
              </w:rPr>
            </w:pPr>
            <w:r w:rsidRPr="00484852">
              <w:rPr>
                <w:rFonts w:ascii="Tahoma" w:hAnsi="Tahoma" w:cs="Tahoma"/>
              </w:rPr>
              <w:t xml:space="preserve">Measure </w:t>
            </w:r>
            <w:r w:rsidR="00143BC4">
              <w:rPr>
                <w:rFonts w:ascii="Tahoma" w:hAnsi="Tahoma" w:cs="Tahoma"/>
              </w:rPr>
              <w:t>ET</w:t>
            </w:r>
            <w:r w:rsidRPr="00484852">
              <w:rPr>
                <w:rFonts w:ascii="Tahoma" w:hAnsi="Tahoma" w:cs="Tahoma"/>
              </w:rPr>
              <w:t>CO</w:t>
            </w:r>
            <w:r w:rsidR="002302F3">
              <w:rPr>
                <w:rFonts w:ascii="Tahoma" w:hAnsi="Tahoma" w:cs="Tahoma"/>
                <w:vertAlign w:val="subscript"/>
              </w:rPr>
              <w:t>2</w:t>
            </w:r>
            <w:r w:rsidR="00143BC4">
              <w:rPr>
                <w:rFonts w:ascii="Tahoma" w:hAnsi="Tahoma" w:cs="Tahoma"/>
              </w:rPr>
              <w:t xml:space="preserve"> (</w:t>
            </w:r>
            <w:r w:rsidR="002302F3">
              <w:rPr>
                <w:rFonts w:ascii="Tahoma" w:hAnsi="Tahoma" w:cs="Tahoma"/>
              </w:rPr>
              <w:t>9002), and Pulse Oximetry (9001).</w:t>
            </w:r>
            <w:r w:rsidR="0083100D">
              <w:rPr>
                <w:rFonts w:ascii="Tahoma" w:hAnsi="Tahoma" w:cs="Tahoma"/>
              </w:rPr>
              <w:t xml:space="preserve">  Ventilate at a rate to maintain ETCO</w:t>
            </w:r>
            <w:r w:rsidR="0083100D">
              <w:rPr>
                <w:rFonts w:ascii="Tahoma" w:hAnsi="Tahoma" w:cs="Tahoma"/>
                <w:vertAlign w:val="subscript"/>
              </w:rPr>
              <w:t>2</w:t>
            </w:r>
            <w:r w:rsidR="0083100D">
              <w:rPr>
                <w:rFonts w:ascii="Tahoma" w:hAnsi="Tahoma" w:cs="Tahoma"/>
              </w:rPr>
              <w:t xml:space="preserve"> at 35-45 mmHg.  For obvious head injury with possible increased ICP, ventilate as needed to an ETCO</w:t>
            </w:r>
            <w:r w:rsidR="0083100D">
              <w:rPr>
                <w:rFonts w:ascii="Tahoma" w:hAnsi="Tahoma" w:cs="Tahoma"/>
                <w:vertAlign w:val="subscript"/>
              </w:rPr>
              <w:t>2</w:t>
            </w:r>
            <w:r w:rsidR="0083100D">
              <w:rPr>
                <w:rFonts w:ascii="Tahoma" w:hAnsi="Tahoma" w:cs="Tahoma"/>
              </w:rPr>
              <w:t xml:space="preserve"> of 30-35 mmHg.</w:t>
            </w:r>
          </w:p>
          <w:p w:rsidR="00143BC4" w:rsidRDefault="0083100D" w:rsidP="00143BC4">
            <w:pPr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Consider restraints and C-collar placement</w:t>
            </w:r>
            <w:r w:rsidR="00143BC4">
              <w:rPr>
                <w:rFonts w:ascii="Tahoma" w:hAnsi="Tahoma" w:cs="Tahoma"/>
              </w:rPr>
              <w:t xml:space="preserve"> to help reduce dislodgement</w:t>
            </w:r>
            <w:r>
              <w:rPr>
                <w:rFonts w:ascii="Tahoma" w:hAnsi="Tahoma" w:cs="Tahoma"/>
              </w:rPr>
              <w:t>.</w:t>
            </w:r>
          </w:p>
          <w:p w:rsidR="00342292" w:rsidRPr="00B531E3" w:rsidRDefault="00D2306B" w:rsidP="00B531E3">
            <w:pPr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Document procedure, ETT size, time, result and placement location in PCR.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:rsidR="0069745B" w:rsidRDefault="0069745B">
            <w:pPr>
              <w:tabs>
                <w:tab w:val="left" w:pos="1815"/>
              </w:tabs>
              <w:rPr>
                <w:rFonts w:ascii="Tahoma" w:hAnsi="Tahoma" w:cs="Tahoma"/>
                <w:sz w:val="52"/>
                <w:szCs w:val="52"/>
              </w:rPr>
            </w:pPr>
            <w:r>
              <w:rPr>
                <w:rFonts w:ascii="Tahoma" w:hAnsi="Tahoma" w:cs="Tahoma"/>
                <w:sz w:val="52"/>
                <w:szCs w:val="52"/>
              </w:rPr>
              <w:t>P</w:t>
            </w:r>
          </w:p>
        </w:tc>
      </w:tr>
    </w:tbl>
    <w:p w:rsidR="001F1302" w:rsidRPr="00AA3696" w:rsidRDefault="002249C4" w:rsidP="001F1302">
      <w:r w:rsidRPr="004B6747">
        <w:rPr>
          <w:sz w:val="20"/>
          <w:szCs w:val="20"/>
        </w:rPr>
        <w:t>Pearls:</w:t>
      </w:r>
      <w:r w:rsidR="001F1302" w:rsidRPr="001F1302">
        <w:t xml:space="preserve"> </w:t>
      </w:r>
    </w:p>
    <w:p w:rsidR="0083100D" w:rsidRDefault="005649B3" w:rsidP="001F1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rPr>
          <w:rStyle w:val="font111"/>
          <w:rFonts w:ascii="Tahoma" w:hAnsi="Tahoma" w:cs="Tahoma"/>
          <w:b/>
          <w:color w:val="333333"/>
          <w:sz w:val="20"/>
          <w:szCs w:val="20"/>
        </w:rPr>
      </w:pPr>
      <w:bookmarkStart w:id="1" w:name="586437"/>
      <w:bookmarkEnd w:id="1"/>
      <w:r>
        <w:rPr>
          <w:rStyle w:val="font111"/>
          <w:rFonts w:ascii="Tahoma" w:hAnsi="Tahoma" w:cs="Tahoma"/>
          <w:b/>
          <w:color w:val="333333"/>
          <w:sz w:val="20"/>
          <w:szCs w:val="20"/>
        </w:rPr>
        <w:t xml:space="preserve">MOANS: Difficult </w:t>
      </w:r>
      <w:r w:rsidRPr="005649B3">
        <w:rPr>
          <w:rStyle w:val="font111"/>
          <w:rFonts w:ascii="Tahoma" w:hAnsi="Tahoma" w:cs="Tahoma"/>
          <w:b/>
          <w:color w:val="333333"/>
          <w:sz w:val="20"/>
          <w:szCs w:val="20"/>
          <w:u w:val="single"/>
        </w:rPr>
        <w:t>M</w:t>
      </w:r>
      <w:r w:rsidR="00237E20">
        <w:rPr>
          <w:rStyle w:val="font111"/>
          <w:rFonts w:ascii="Tahoma" w:hAnsi="Tahoma" w:cs="Tahoma"/>
          <w:b/>
          <w:color w:val="333333"/>
          <w:sz w:val="20"/>
          <w:szCs w:val="20"/>
        </w:rPr>
        <w:t xml:space="preserve">ask seal, </w:t>
      </w:r>
      <w:r w:rsidR="00237E20" w:rsidRPr="005649B3">
        <w:rPr>
          <w:rStyle w:val="font111"/>
          <w:rFonts w:ascii="Tahoma" w:hAnsi="Tahoma" w:cs="Tahoma"/>
          <w:b/>
          <w:color w:val="333333"/>
          <w:sz w:val="20"/>
          <w:szCs w:val="20"/>
          <w:u w:val="single"/>
        </w:rPr>
        <w:t>O</w:t>
      </w:r>
      <w:r>
        <w:rPr>
          <w:rStyle w:val="font111"/>
          <w:rFonts w:ascii="Tahoma" w:hAnsi="Tahoma" w:cs="Tahoma"/>
          <w:b/>
          <w:color w:val="333333"/>
          <w:sz w:val="20"/>
          <w:szCs w:val="20"/>
        </w:rPr>
        <w:t>bese or a</w:t>
      </w:r>
      <w:r w:rsidR="00237E20">
        <w:rPr>
          <w:rStyle w:val="font111"/>
          <w:rFonts w:ascii="Tahoma" w:hAnsi="Tahoma" w:cs="Tahoma"/>
          <w:b/>
          <w:color w:val="333333"/>
          <w:sz w:val="20"/>
          <w:szCs w:val="20"/>
        </w:rPr>
        <w:t xml:space="preserve">irway obstruction, </w:t>
      </w:r>
      <w:r w:rsidR="00237E20" w:rsidRPr="005649B3">
        <w:rPr>
          <w:rStyle w:val="font111"/>
          <w:rFonts w:ascii="Tahoma" w:hAnsi="Tahoma" w:cs="Tahoma"/>
          <w:b/>
          <w:color w:val="333333"/>
          <w:sz w:val="20"/>
          <w:szCs w:val="20"/>
          <w:u w:val="single"/>
        </w:rPr>
        <w:t>A</w:t>
      </w:r>
      <w:r w:rsidR="00237E20">
        <w:rPr>
          <w:rStyle w:val="font111"/>
          <w:rFonts w:ascii="Tahoma" w:hAnsi="Tahoma" w:cs="Tahoma"/>
          <w:b/>
          <w:color w:val="333333"/>
          <w:sz w:val="20"/>
          <w:szCs w:val="20"/>
        </w:rPr>
        <w:t xml:space="preserve">dvanced age, </w:t>
      </w:r>
      <w:r w:rsidR="00237E20" w:rsidRPr="005649B3">
        <w:rPr>
          <w:rStyle w:val="font111"/>
          <w:rFonts w:ascii="Tahoma" w:hAnsi="Tahoma" w:cs="Tahoma"/>
          <w:b/>
          <w:color w:val="333333"/>
          <w:sz w:val="20"/>
          <w:szCs w:val="20"/>
          <w:u w:val="single"/>
        </w:rPr>
        <w:t>N</w:t>
      </w:r>
      <w:r w:rsidR="00237E20">
        <w:rPr>
          <w:rStyle w:val="font111"/>
          <w:rFonts w:ascii="Tahoma" w:hAnsi="Tahoma" w:cs="Tahoma"/>
          <w:b/>
          <w:color w:val="333333"/>
          <w:sz w:val="20"/>
          <w:szCs w:val="20"/>
        </w:rPr>
        <w:t xml:space="preserve">o teeth, </w:t>
      </w:r>
      <w:r w:rsidR="00237E20" w:rsidRPr="005649B3">
        <w:rPr>
          <w:rStyle w:val="font111"/>
          <w:rFonts w:ascii="Tahoma" w:hAnsi="Tahoma" w:cs="Tahoma"/>
          <w:b/>
          <w:color w:val="333333"/>
          <w:sz w:val="20"/>
          <w:szCs w:val="20"/>
          <w:u w:val="single"/>
        </w:rPr>
        <w:t>S</w:t>
      </w:r>
      <w:r w:rsidR="00237E20">
        <w:rPr>
          <w:rStyle w:val="font111"/>
          <w:rFonts w:ascii="Tahoma" w:hAnsi="Tahoma" w:cs="Tahoma"/>
          <w:b/>
          <w:color w:val="333333"/>
          <w:sz w:val="20"/>
          <w:szCs w:val="20"/>
        </w:rPr>
        <w:t xml:space="preserve">leep apnea or </w:t>
      </w:r>
      <w:r>
        <w:rPr>
          <w:rStyle w:val="font111"/>
          <w:rFonts w:ascii="Tahoma" w:hAnsi="Tahoma" w:cs="Tahoma"/>
          <w:b/>
          <w:color w:val="333333"/>
          <w:sz w:val="20"/>
          <w:szCs w:val="20"/>
          <w:u w:val="single"/>
        </w:rPr>
        <w:t>S</w:t>
      </w:r>
      <w:r w:rsidR="00237E20">
        <w:rPr>
          <w:rStyle w:val="font111"/>
          <w:rFonts w:ascii="Tahoma" w:hAnsi="Tahoma" w:cs="Tahoma"/>
          <w:b/>
          <w:color w:val="333333"/>
          <w:sz w:val="20"/>
          <w:szCs w:val="20"/>
        </w:rPr>
        <w:t>tiff lungs.  L</w:t>
      </w:r>
      <w:r w:rsidR="00103380">
        <w:rPr>
          <w:rStyle w:val="font111"/>
          <w:rFonts w:ascii="Tahoma" w:hAnsi="Tahoma" w:cs="Tahoma"/>
          <w:b/>
          <w:color w:val="333333"/>
          <w:sz w:val="20"/>
          <w:szCs w:val="20"/>
        </w:rPr>
        <w:t xml:space="preserve">EMONS: </w:t>
      </w:r>
      <w:r w:rsidR="00103380" w:rsidRPr="005649B3">
        <w:rPr>
          <w:rStyle w:val="font111"/>
          <w:rFonts w:ascii="Tahoma" w:hAnsi="Tahoma" w:cs="Tahoma"/>
          <w:b/>
          <w:color w:val="333333"/>
          <w:sz w:val="20"/>
          <w:szCs w:val="20"/>
          <w:u w:val="single"/>
        </w:rPr>
        <w:t>L</w:t>
      </w:r>
      <w:r w:rsidR="00103380">
        <w:rPr>
          <w:rStyle w:val="font111"/>
          <w:rFonts w:ascii="Tahoma" w:hAnsi="Tahoma" w:cs="Tahoma"/>
          <w:b/>
          <w:color w:val="333333"/>
          <w:sz w:val="20"/>
          <w:szCs w:val="20"/>
        </w:rPr>
        <w:t xml:space="preserve">ook externally, </w:t>
      </w:r>
      <w:r w:rsidR="00103380" w:rsidRPr="005649B3">
        <w:rPr>
          <w:rStyle w:val="font111"/>
          <w:rFonts w:ascii="Tahoma" w:hAnsi="Tahoma" w:cs="Tahoma"/>
          <w:b/>
          <w:color w:val="333333"/>
          <w:sz w:val="20"/>
          <w:szCs w:val="20"/>
          <w:u w:val="single"/>
        </w:rPr>
        <w:t>E</w:t>
      </w:r>
      <w:r w:rsidR="00103380">
        <w:rPr>
          <w:rStyle w:val="font111"/>
          <w:rFonts w:ascii="Tahoma" w:hAnsi="Tahoma" w:cs="Tahoma"/>
          <w:b/>
          <w:color w:val="333333"/>
          <w:sz w:val="20"/>
          <w:szCs w:val="20"/>
        </w:rPr>
        <w:t>valuat</w:t>
      </w:r>
      <w:r w:rsidR="00237E20">
        <w:rPr>
          <w:rStyle w:val="font111"/>
          <w:rFonts w:ascii="Tahoma" w:hAnsi="Tahoma" w:cs="Tahoma"/>
          <w:b/>
          <w:color w:val="333333"/>
          <w:sz w:val="20"/>
          <w:szCs w:val="20"/>
        </w:rPr>
        <w:t xml:space="preserve">e 3-3-2, </w:t>
      </w:r>
      <w:r w:rsidR="00237E20" w:rsidRPr="005649B3">
        <w:rPr>
          <w:rStyle w:val="font111"/>
          <w:rFonts w:ascii="Tahoma" w:hAnsi="Tahoma" w:cs="Tahoma"/>
          <w:b/>
          <w:color w:val="333333"/>
          <w:sz w:val="20"/>
          <w:szCs w:val="20"/>
          <w:u w:val="single"/>
        </w:rPr>
        <w:t>M</w:t>
      </w:r>
      <w:r w:rsidR="00237E20">
        <w:rPr>
          <w:rStyle w:val="font111"/>
          <w:rFonts w:ascii="Tahoma" w:hAnsi="Tahoma" w:cs="Tahoma"/>
          <w:b/>
          <w:color w:val="333333"/>
          <w:sz w:val="20"/>
          <w:szCs w:val="20"/>
        </w:rPr>
        <w:t xml:space="preserve">allampati score, </w:t>
      </w:r>
      <w:r w:rsidR="00237E20" w:rsidRPr="005649B3">
        <w:rPr>
          <w:rStyle w:val="font111"/>
          <w:rFonts w:ascii="Tahoma" w:hAnsi="Tahoma" w:cs="Tahoma"/>
          <w:b/>
          <w:color w:val="333333"/>
          <w:sz w:val="20"/>
          <w:szCs w:val="20"/>
          <w:u w:val="single"/>
        </w:rPr>
        <w:t>O</w:t>
      </w:r>
      <w:r w:rsidR="00237E20">
        <w:rPr>
          <w:rStyle w:val="font111"/>
          <w:rFonts w:ascii="Tahoma" w:hAnsi="Tahoma" w:cs="Tahoma"/>
          <w:b/>
          <w:color w:val="333333"/>
          <w:sz w:val="20"/>
          <w:szCs w:val="20"/>
        </w:rPr>
        <w:t xml:space="preserve">bstruction, </w:t>
      </w:r>
      <w:r w:rsidR="00237E20" w:rsidRPr="005649B3">
        <w:rPr>
          <w:rStyle w:val="font111"/>
          <w:rFonts w:ascii="Tahoma" w:hAnsi="Tahoma" w:cs="Tahoma"/>
          <w:b/>
          <w:color w:val="333333"/>
          <w:sz w:val="20"/>
          <w:szCs w:val="20"/>
          <w:u w:val="single"/>
        </w:rPr>
        <w:t>N</w:t>
      </w:r>
      <w:r w:rsidR="00237E20">
        <w:rPr>
          <w:rStyle w:val="font111"/>
          <w:rFonts w:ascii="Tahoma" w:hAnsi="Tahoma" w:cs="Tahoma"/>
          <w:b/>
          <w:color w:val="333333"/>
          <w:sz w:val="20"/>
          <w:szCs w:val="20"/>
        </w:rPr>
        <w:t xml:space="preserve">eck mobility, </w:t>
      </w:r>
      <w:r w:rsidR="00237E20" w:rsidRPr="005649B3">
        <w:rPr>
          <w:rStyle w:val="font111"/>
          <w:rFonts w:ascii="Tahoma" w:hAnsi="Tahoma" w:cs="Tahoma"/>
          <w:b/>
          <w:color w:val="333333"/>
          <w:sz w:val="20"/>
          <w:szCs w:val="20"/>
          <w:u w:val="single"/>
        </w:rPr>
        <w:t>S</w:t>
      </w:r>
      <w:r w:rsidR="00237E20">
        <w:rPr>
          <w:rStyle w:val="font111"/>
          <w:rFonts w:ascii="Tahoma" w:hAnsi="Tahoma" w:cs="Tahoma"/>
          <w:b/>
          <w:color w:val="333333"/>
          <w:sz w:val="20"/>
          <w:szCs w:val="20"/>
        </w:rPr>
        <w:t xml:space="preserve">cene or </w:t>
      </w:r>
      <w:r>
        <w:rPr>
          <w:rStyle w:val="font111"/>
          <w:rFonts w:ascii="Tahoma" w:hAnsi="Tahoma" w:cs="Tahoma"/>
          <w:b/>
          <w:color w:val="333333"/>
          <w:sz w:val="20"/>
          <w:szCs w:val="20"/>
          <w:u w:val="single"/>
        </w:rPr>
        <w:t>S</w:t>
      </w:r>
      <w:r w:rsidR="00237E20">
        <w:rPr>
          <w:rStyle w:val="font111"/>
          <w:rFonts w:ascii="Tahoma" w:hAnsi="Tahoma" w:cs="Tahoma"/>
          <w:b/>
          <w:color w:val="333333"/>
          <w:sz w:val="20"/>
          <w:szCs w:val="20"/>
        </w:rPr>
        <w:t xml:space="preserve">ituation.  DOA: </w:t>
      </w:r>
      <w:r w:rsidR="00237E20" w:rsidRPr="005649B3">
        <w:rPr>
          <w:rStyle w:val="font111"/>
          <w:rFonts w:ascii="Tahoma" w:hAnsi="Tahoma" w:cs="Tahoma"/>
          <w:b/>
          <w:color w:val="333333"/>
          <w:sz w:val="20"/>
          <w:szCs w:val="20"/>
          <w:u w:val="single"/>
        </w:rPr>
        <w:t>D</w:t>
      </w:r>
      <w:r w:rsidR="00237E20">
        <w:rPr>
          <w:rStyle w:val="font111"/>
          <w:rFonts w:ascii="Tahoma" w:hAnsi="Tahoma" w:cs="Tahoma"/>
          <w:b/>
          <w:color w:val="333333"/>
          <w:sz w:val="20"/>
          <w:szCs w:val="20"/>
        </w:rPr>
        <w:t xml:space="preserve">isruption or </w:t>
      </w:r>
      <w:r w:rsidRPr="005649B3">
        <w:rPr>
          <w:rStyle w:val="font111"/>
          <w:rFonts w:ascii="Tahoma" w:hAnsi="Tahoma" w:cs="Tahoma"/>
          <w:b/>
          <w:color w:val="333333"/>
          <w:sz w:val="20"/>
          <w:szCs w:val="20"/>
          <w:u w:val="single"/>
        </w:rPr>
        <w:t>D</w:t>
      </w:r>
      <w:r w:rsidR="00237E20">
        <w:rPr>
          <w:rStyle w:val="font111"/>
          <w:rFonts w:ascii="Tahoma" w:hAnsi="Tahoma" w:cs="Tahoma"/>
          <w:b/>
          <w:color w:val="333333"/>
          <w:sz w:val="20"/>
          <w:szCs w:val="20"/>
        </w:rPr>
        <w:t xml:space="preserve">istortion, </w:t>
      </w:r>
      <w:r w:rsidR="00237E20" w:rsidRPr="005649B3">
        <w:rPr>
          <w:rStyle w:val="font111"/>
          <w:rFonts w:ascii="Tahoma" w:hAnsi="Tahoma" w:cs="Tahoma"/>
          <w:b/>
          <w:color w:val="333333"/>
          <w:sz w:val="20"/>
          <w:szCs w:val="20"/>
          <w:u w:val="single"/>
        </w:rPr>
        <w:t>O</w:t>
      </w:r>
      <w:r w:rsidR="00237E20">
        <w:rPr>
          <w:rStyle w:val="font111"/>
          <w:rFonts w:ascii="Tahoma" w:hAnsi="Tahoma" w:cs="Tahoma"/>
          <w:b/>
          <w:color w:val="333333"/>
          <w:sz w:val="20"/>
          <w:szCs w:val="20"/>
        </w:rPr>
        <w:t xml:space="preserve">bstruction, </w:t>
      </w:r>
      <w:r w:rsidR="00237E20" w:rsidRPr="005649B3">
        <w:rPr>
          <w:rStyle w:val="font111"/>
          <w:rFonts w:ascii="Tahoma" w:hAnsi="Tahoma" w:cs="Tahoma"/>
          <w:b/>
          <w:color w:val="333333"/>
          <w:sz w:val="20"/>
          <w:szCs w:val="20"/>
          <w:u w:val="single"/>
        </w:rPr>
        <w:t>A</w:t>
      </w:r>
      <w:r w:rsidR="00237E20">
        <w:rPr>
          <w:rStyle w:val="font111"/>
          <w:rFonts w:ascii="Tahoma" w:hAnsi="Tahoma" w:cs="Tahoma"/>
          <w:b/>
          <w:color w:val="333333"/>
          <w:sz w:val="20"/>
          <w:szCs w:val="20"/>
        </w:rPr>
        <w:t>ccess pr</w:t>
      </w:r>
      <w:r w:rsidR="00103380">
        <w:rPr>
          <w:rStyle w:val="font111"/>
          <w:rFonts w:ascii="Tahoma" w:hAnsi="Tahoma" w:cs="Tahoma"/>
          <w:b/>
          <w:color w:val="333333"/>
          <w:sz w:val="20"/>
          <w:szCs w:val="20"/>
        </w:rPr>
        <w:t>o</w:t>
      </w:r>
      <w:r w:rsidR="00237E20">
        <w:rPr>
          <w:rStyle w:val="font111"/>
          <w:rFonts w:ascii="Tahoma" w:hAnsi="Tahoma" w:cs="Tahoma"/>
          <w:b/>
          <w:color w:val="333333"/>
          <w:sz w:val="20"/>
          <w:szCs w:val="20"/>
        </w:rPr>
        <w:t xml:space="preserve">blems. </w:t>
      </w:r>
      <w:r>
        <w:rPr>
          <w:rStyle w:val="font111"/>
          <w:rFonts w:ascii="Tahoma" w:hAnsi="Tahoma" w:cs="Tahoma"/>
          <w:b/>
          <w:color w:val="333333"/>
          <w:sz w:val="20"/>
          <w:szCs w:val="20"/>
        </w:rPr>
        <w:t>The p</w:t>
      </w:r>
      <w:r w:rsidR="001F1302">
        <w:rPr>
          <w:rStyle w:val="font111"/>
          <w:rFonts w:ascii="Tahoma" w:hAnsi="Tahoma" w:cs="Tahoma"/>
          <w:b/>
          <w:color w:val="333333"/>
          <w:sz w:val="20"/>
          <w:szCs w:val="20"/>
        </w:rPr>
        <w:t>aramedic must be prepared to deal with and prevent complications while</w:t>
      </w:r>
      <w:r w:rsidR="00342292">
        <w:rPr>
          <w:rStyle w:val="font111"/>
          <w:rFonts w:ascii="Tahoma" w:hAnsi="Tahoma" w:cs="Tahoma"/>
          <w:b/>
          <w:color w:val="333333"/>
          <w:sz w:val="20"/>
          <w:szCs w:val="20"/>
        </w:rPr>
        <w:t xml:space="preserve"> placing an endotracheal tube.  </w:t>
      </w:r>
      <w:r w:rsidR="001F1302">
        <w:rPr>
          <w:rStyle w:val="font111"/>
          <w:rFonts w:ascii="Tahoma" w:hAnsi="Tahoma" w:cs="Tahoma"/>
          <w:b/>
          <w:color w:val="333333"/>
          <w:sz w:val="20"/>
          <w:szCs w:val="20"/>
        </w:rPr>
        <w:t>These include: airway trauma, laryngospasm, hypoxia, aspiration and Failed Airway (4002).</w:t>
      </w:r>
      <w:r w:rsidR="001F1302" w:rsidRPr="00665C40">
        <w:rPr>
          <w:rStyle w:val="font111"/>
          <w:rFonts w:ascii="Tahoma" w:hAnsi="Tahoma" w:cs="Tahoma"/>
          <w:b/>
          <w:color w:val="333333"/>
          <w:sz w:val="20"/>
          <w:szCs w:val="20"/>
        </w:rPr>
        <w:t xml:space="preserve"> </w:t>
      </w:r>
      <w:r w:rsidR="00143BC4">
        <w:rPr>
          <w:rStyle w:val="font111"/>
          <w:rFonts w:ascii="Tahoma" w:hAnsi="Tahoma" w:cs="Tahoma"/>
          <w:b/>
          <w:color w:val="333333"/>
          <w:sz w:val="20"/>
          <w:szCs w:val="20"/>
        </w:rPr>
        <w:t>Patient outcomes are directly related to the promptness and competency with which a paramedic moves through appropriate options while maintaining ventilation.</w:t>
      </w:r>
      <w:r w:rsidR="00342292">
        <w:rPr>
          <w:rStyle w:val="font111"/>
          <w:rFonts w:ascii="Tahoma" w:hAnsi="Tahoma" w:cs="Tahoma"/>
          <w:b/>
          <w:color w:val="333333"/>
          <w:sz w:val="20"/>
          <w:szCs w:val="20"/>
        </w:rPr>
        <w:t xml:space="preserve">  </w:t>
      </w:r>
      <w:r w:rsidR="000C422E">
        <w:rPr>
          <w:rStyle w:val="font111"/>
          <w:rFonts w:ascii="Tahoma" w:hAnsi="Tahoma" w:cs="Tahoma"/>
          <w:b/>
          <w:color w:val="333333"/>
          <w:sz w:val="20"/>
          <w:szCs w:val="20"/>
        </w:rPr>
        <w:t>Premedicat</w:t>
      </w:r>
      <w:r>
        <w:rPr>
          <w:rStyle w:val="font111"/>
          <w:rFonts w:ascii="Tahoma" w:hAnsi="Tahoma" w:cs="Tahoma"/>
          <w:b/>
          <w:color w:val="333333"/>
          <w:sz w:val="20"/>
          <w:szCs w:val="20"/>
        </w:rPr>
        <w:t>e pediatric patients with A</w:t>
      </w:r>
      <w:r w:rsidR="000C422E">
        <w:rPr>
          <w:rStyle w:val="font111"/>
          <w:rFonts w:ascii="Tahoma" w:hAnsi="Tahoma" w:cs="Tahoma"/>
          <w:b/>
          <w:color w:val="333333"/>
          <w:sz w:val="20"/>
          <w:szCs w:val="20"/>
        </w:rPr>
        <w:t>tropine 0.01-0.02 mg/kg IV/IO.</w:t>
      </w:r>
      <w:r w:rsidR="00A7222F">
        <w:rPr>
          <w:rStyle w:val="font111"/>
          <w:rFonts w:ascii="Tahoma" w:hAnsi="Tahoma" w:cs="Tahoma"/>
          <w:b/>
          <w:color w:val="333333"/>
          <w:sz w:val="20"/>
          <w:szCs w:val="20"/>
        </w:rPr>
        <w:t xml:space="preserve">  </w:t>
      </w:r>
      <w:r w:rsidR="0083100D">
        <w:rPr>
          <w:rStyle w:val="font111"/>
          <w:rFonts w:ascii="Tahoma" w:hAnsi="Tahoma" w:cs="Tahoma"/>
          <w:b/>
          <w:color w:val="333333"/>
          <w:sz w:val="20"/>
          <w:szCs w:val="20"/>
        </w:rPr>
        <w:t>Don’t be a D</w:t>
      </w:r>
      <w:r w:rsidR="00143BC4">
        <w:rPr>
          <w:rStyle w:val="font111"/>
          <w:rFonts w:ascii="Tahoma" w:hAnsi="Tahoma" w:cs="Tahoma"/>
          <w:b/>
          <w:color w:val="333333"/>
          <w:sz w:val="20"/>
          <w:szCs w:val="20"/>
        </w:rPr>
        <w:t>.</w:t>
      </w:r>
      <w:r w:rsidR="0083100D">
        <w:rPr>
          <w:rStyle w:val="font111"/>
          <w:rFonts w:ascii="Tahoma" w:hAnsi="Tahoma" w:cs="Tahoma"/>
          <w:b/>
          <w:color w:val="333333"/>
          <w:sz w:val="20"/>
          <w:szCs w:val="20"/>
        </w:rPr>
        <w:t>O</w:t>
      </w:r>
      <w:r w:rsidR="00143BC4">
        <w:rPr>
          <w:rStyle w:val="font111"/>
          <w:rFonts w:ascii="Tahoma" w:hAnsi="Tahoma" w:cs="Tahoma"/>
          <w:b/>
          <w:color w:val="333333"/>
          <w:sz w:val="20"/>
          <w:szCs w:val="20"/>
        </w:rPr>
        <w:t>.</w:t>
      </w:r>
      <w:r w:rsidR="0083100D">
        <w:rPr>
          <w:rStyle w:val="font111"/>
          <w:rFonts w:ascii="Tahoma" w:hAnsi="Tahoma" w:cs="Tahoma"/>
          <w:b/>
          <w:color w:val="333333"/>
          <w:sz w:val="20"/>
          <w:szCs w:val="20"/>
        </w:rPr>
        <w:t>P</w:t>
      </w:r>
      <w:r w:rsidR="00143BC4">
        <w:rPr>
          <w:rStyle w:val="font111"/>
          <w:rFonts w:ascii="Tahoma" w:hAnsi="Tahoma" w:cs="Tahoma"/>
          <w:b/>
          <w:color w:val="333333"/>
          <w:sz w:val="20"/>
          <w:szCs w:val="20"/>
        </w:rPr>
        <w:t>.</w:t>
      </w:r>
      <w:r w:rsidR="0083100D">
        <w:rPr>
          <w:rStyle w:val="font111"/>
          <w:rFonts w:ascii="Tahoma" w:hAnsi="Tahoma" w:cs="Tahoma"/>
          <w:b/>
          <w:color w:val="333333"/>
          <w:sz w:val="20"/>
          <w:szCs w:val="20"/>
        </w:rPr>
        <w:t>E</w:t>
      </w:r>
      <w:r w:rsidR="00143BC4">
        <w:rPr>
          <w:rStyle w:val="font111"/>
          <w:rFonts w:ascii="Tahoma" w:hAnsi="Tahoma" w:cs="Tahoma"/>
          <w:b/>
          <w:color w:val="333333"/>
          <w:sz w:val="20"/>
          <w:szCs w:val="20"/>
        </w:rPr>
        <w:t>.</w:t>
      </w:r>
      <w:r w:rsidR="0083100D">
        <w:rPr>
          <w:rStyle w:val="font111"/>
          <w:rFonts w:ascii="Tahoma" w:hAnsi="Tahoma" w:cs="Tahoma"/>
          <w:b/>
          <w:color w:val="333333"/>
          <w:sz w:val="20"/>
          <w:szCs w:val="20"/>
        </w:rPr>
        <w:t>- Reassess for complications:</w:t>
      </w:r>
      <w:r w:rsidR="00ED6F71">
        <w:rPr>
          <w:rStyle w:val="font111"/>
          <w:rFonts w:ascii="Tahoma" w:hAnsi="Tahoma" w:cs="Tahoma"/>
          <w:b/>
          <w:color w:val="333333"/>
          <w:sz w:val="20"/>
          <w:szCs w:val="20"/>
        </w:rPr>
        <w:t xml:space="preserve"> </w:t>
      </w:r>
      <w:r w:rsidR="0083100D" w:rsidRPr="005649B3">
        <w:rPr>
          <w:rStyle w:val="font111"/>
          <w:rFonts w:ascii="Tahoma" w:hAnsi="Tahoma" w:cs="Tahoma"/>
          <w:b/>
          <w:color w:val="333333"/>
          <w:sz w:val="20"/>
          <w:szCs w:val="20"/>
          <w:u w:val="single"/>
        </w:rPr>
        <w:t>D</w:t>
      </w:r>
      <w:r w:rsidR="0083100D">
        <w:rPr>
          <w:rStyle w:val="font111"/>
          <w:rFonts w:ascii="Tahoma" w:hAnsi="Tahoma" w:cs="Tahoma"/>
          <w:b/>
          <w:color w:val="333333"/>
          <w:sz w:val="20"/>
          <w:szCs w:val="20"/>
        </w:rPr>
        <w:t xml:space="preserve">isplacement, </w:t>
      </w:r>
      <w:r w:rsidR="0083100D" w:rsidRPr="005649B3">
        <w:rPr>
          <w:rStyle w:val="font111"/>
          <w:rFonts w:ascii="Tahoma" w:hAnsi="Tahoma" w:cs="Tahoma"/>
          <w:b/>
          <w:color w:val="333333"/>
          <w:sz w:val="20"/>
          <w:szCs w:val="20"/>
          <w:u w:val="single"/>
        </w:rPr>
        <w:t>O</w:t>
      </w:r>
      <w:r w:rsidR="0083100D">
        <w:rPr>
          <w:rStyle w:val="font111"/>
          <w:rFonts w:ascii="Tahoma" w:hAnsi="Tahoma" w:cs="Tahoma"/>
          <w:b/>
          <w:color w:val="333333"/>
          <w:sz w:val="20"/>
          <w:szCs w:val="20"/>
        </w:rPr>
        <w:t xml:space="preserve">bstruction, </w:t>
      </w:r>
      <w:r w:rsidR="0083100D" w:rsidRPr="005649B3">
        <w:rPr>
          <w:rStyle w:val="font111"/>
          <w:rFonts w:ascii="Tahoma" w:hAnsi="Tahoma" w:cs="Tahoma"/>
          <w:b/>
          <w:color w:val="333333"/>
          <w:sz w:val="20"/>
          <w:szCs w:val="20"/>
          <w:u w:val="single"/>
        </w:rPr>
        <w:t>P</w:t>
      </w:r>
      <w:r w:rsidR="0083100D">
        <w:rPr>
          <w:rStyle w:val="font111"/>
          <w:rFonts w:ascii="Tahoma" w:hAnsi="Tahoma" w:cs="Tahoma"/>
          <w:b/>
          <w:color w:val="333333"/>
          <w:sz w:val="20"/>
          <w:szCs w:val="20"/>
        </w:rPr>
        <w:t xml:space="preserve">neumothorax, </w:t>
      </w:r>
      <w:r>
        <w:rPr>
          <w:rStyle w:val="font111"/>
          <w:rFonts w:ascii="Tahoma" w:hAnsi="Tahoma" w:cs="Tahoma"/>
          <w:b/>
          <w:color w:val="333333"/>
          <w:sz w:val="20"/>
          <w:szCs w:val="20"/>
        </w:rPr>
        <w:t xml:space="preserve">and </w:t>
      </w:r>
      <w:r w:rsidR="0083100D" w:rsidRPr="005649B3">
        <w:rPr>
          <w:rStyle w:val="font111"/>
          <w:rFonts w:ascii="Tahoma" w:hAnsi="Tahoma" w:cs="Tahoma"/>
          <w:b/>
          <w:color w:val="333333"/>
          <w:sz w:val="20"/>
          <w:szCs w:val="20"/>
          <w:u w:val="single"/>
        </w:rPr>
        <w:t>E</w:t>
      </w:r>
      <w:r w:rsidR="0083100D">
        <w:rPr>
          <w:rStyle w:val="font111"/>
          <w:rFonts w:ascii="Tahoma" w:hAnsi="Tahoma" w:cs="Tahoma"/>
          <w:b/>
          <w:color w:val="333333"/>
          <w:sz w:val="20"/>
          <w:szCs w:val="20"/>
        </w:rPr>
        <w:t>quipment failure.</w:t>
      </w:r>
    </w:p>
    <w:p w:rsidR="00A508B0" w:rsidRPr="00143BC4" w:rsidRDefault="000C422E" w:rsidP="00143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rPr>
          <w:rFonts w:ascii="Tahoma" w:hAnsi="Tahoma" w:cs="Tahoma"/>
          <w:b/>
          <w:color w:val="008000"/>
          <w:sz w:val="20"/>
          <w:szCs w:val="20"/>
        </w:rPr>
      </w:pPr>
      <w:r>
        <w:rPr>
          <w:b/>
          <w:color w:val="008000"/>
        </w:rPr>
        <w:t>QA Parameters: 100</w:t>
      </w:r>
      <w:r w:rsidR="00FA58AF">
        <w:rPr>
          <w:b/>
          <w:color w:val="008000"/>
        </w:rPr>
        <w:t>% of patients receiving RSI with attention to frequency</w:t>
      </w:r>
      <w:r w:rsidR="00EF0896">
        <w:rPr>
          <w:b/>
          <w:color w:val="008000"/>
        </w:rPr>
        <w:t xml:space="preserve"> of</w:t>
      </w:r>
      <w:r w:rsidR="00FA58AF">
        <w:rPr>
          <w:b/>
          <w:color w:val="008000"/>
        </w:rPr>
        <w:t xml:space="preserve"> Capnography.</w:t>
      </w:r>
    </w:p>
    <w:sectPr w:rsidR="00A508B0" w:rsidRPr="00143BC4">
      <w:headerReference w:type="default" r:id="rId9"/>
      <w:footerReference w:type="default" r:id="rId10"/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79A" w:rsidRDefault="00B7379A">
      <w:r>
        <w:separator/>
      </w:r>
    </w:p>
  </w:endnote>
  <w:endnote w:type="continuationSeparator" w:id="0">
    <w:p w:rsidR="00B7379A" w:rsidRDefault="00B7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8AF" w:rsidRDefault="00057A7D" w:rsidP="00FA58AF">
    <w:pP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A972753" wp14:editId="23CC75AB">
          <wp:simplePos x="0" y="0"/>
          <wp:positionH relativeFrom="column">
            <wp:posOffset>54610</wp:posOffset>
          </wp:positionH>
          <wp:positionV relativeFrom="paragraph">
            <wp:posOffset>-228600</wp:posOffset>
          </wp:positionV>
          <wp:extent cx="1689100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8AF">
      <w:rPr>
        <w:sz w:val="16"/>
        <w:szCs w:val="16"/>
      </w:rPr>
      <w:t>_______________________________________________________________________________________________________________________________________</w:t>
    </w:r>
  </w:p>
  <w:p w:rsidR="00FA58AF" w:rsidRPr="00641051" w:rsidRDefault="00FA58AF" w:rsidP="00FA58AF">
    <w:pPr>
      <w:rPr>
        <w:sz w:val="16"/>
        <w:szCs w:val="16"/>
      </w:rPr>
    </w:pPr>
    <w:r w:rsidRPr="00641051">
      <w:rPr>
        <w:sz w:val="16"/>
        <w:szCs w:val="16"/>
      </w:rPr>
      <w:t>BCEMS Medical Director</w:t>
    </w:r>
  </w:p>
  <w:p w:rsidR="00A12B89" w:rsidRPr="00641051" w:rsidRDefault="00FA58AF" w:rsidP="00641051">
    <w:pPr>
      <w:rPr>
        <w:sz w:val="16"/>
        <w:szCs w:val="16"/>
      </w:rPr>
    </w:pPr>
    <w:r w:rsidRPr="00641051">
      <w:rPr>
        <w:sz w:val="16"/>
        <w:szCs w:val="16"/>
      </w:rPr>
      <w:t>Eff</w:t>
    </w:r>
    <w:r w:rsidR="00E51B4C">
      <w:rPr>
        <w:sz w:val="16"/>
        <w:szCs w:val="16"/>
      </w:rPr>
      <w:t>ective: 02</w:t>
    </w:r>
    <w:r w:rsidR="005649B3">
      <w:rPr>
        <w:sz w:val="16"/>
        <w:szCs w:val="16"/>
      </w:rPr>
      <w:t>/01/1</w:t>
    </w:r>
    <w:r w:rsidR="00E51B4C">
      <w:rPr>
        <w:sz w:val="16"/>
        <w:szCs w:val="16"/>
      </w:rPr>
      <w:t>5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103380">
      <w:rPr>
        <w:sz w:val="16"/>
        <w:szCs w:val="16"/>
      </w:rPr>
      <w:t>final</w:t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>
      <w:rPr>
        <w:sz w:val="16"/>
        <w:szCs w:val="16"/>
      </w:rPr>
      <w:fldChar w:fldCharType="separate"/>
    </w:r>
    <w:r w:rsidR="00417255">
      <w:rPr>
        <w:noProof/>
        <w:sz w:val="16"/>
        <w:szCs w:val="16"/>
      </w:rPr>
      <w:t>1/28/2015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641051">
      <w:rPr>
        <w:sz w:val="16"/>
        <w:szCs w:val="16"/>
      </w:rPr>
      <w:t xml:space="preserve">page </w:t>
    </w:r>
    <w:r w:rsidRPr="00F81FA6">
      <w:rPr>
        <w:rStyle w:val="PageNumber"/>
        <w:sz w:val="16"/>
        <w:szCs w:val="16"/>
      </w:rPr>
      <w:fldChar w:fldCharType="begin"/>
    </w:r>
    <w:r w:rsidRPr="00F81FA6">
      <w:rPr>
        <w:rStyle w:val="PageNumber"/>
        <w:sz w:val="16"/>
        <w:szCs w:val="16"/>
      </w:rPr>
      <w:instrText xml:space="preserve"> PAGE </w:instrText>
    </w:r>
    <w:r w:rsidRPr="00F81FA6">
      <w:rPr>
        <w:rStyle w:val="PageNumber"/>
        <w:sz w:val="16"/>
        <w:szCs w:val="16"/>
      </w:rPr>
      <w:fldChar w:fldCharType="separate"/>
    </w:r>
    <w:r w:rsidR="00B7379A">
      <w:rPr>
        <w:rStyle w:val="PageNumber"/>
        <w:noProof/>
        <w:sz w:val="16"/>
        <w:szCs w:val="16"/>
      </w:rPr>
      <w:t>1</w:t>
    </w:r>
    <w:r w:rsidRPr="00F81FA6">
      <w:rPr>
        <w:rStyle w:val="PageNumber"/>
        <w:sz w:val="16"/>
        <w:szCs w:val="16"/>
      </w:rPr>
      <w:fldChar w:fldCharType="end"/>
    </w:r>
    <w:r w:rsidRPr="00F81FA6">
      <w:rPr>
        <w:rStyle w:val="PageNumber"/>
        <w:sz w:val="16"/>
        <w:szCs w:val="16"/>
      </w:rPr>
      <w:t xml:space="preserve"> </w:t>
    </w:r>
    <w:r w:rsidRPr="00F81FA6">
      <w:rPr>
        <w:sz w:val="16"/>
        <w:szCs w:val="16"/>
      </w:rPr>
      <w:t xml:space="preserve">of </w:t>
    </w:r>
    <w:r w:rsidRPr="00C0750E">
      <w:rPr>
        <w:rStyle w:val="PageNumber"/>
        <w:sz w:val="16"/>
        <w:szCs w:val="16"/>
      </w:rPr>
      <w:fldChar w:fldCharType="begin"/>
    </w:r>
    <w:r w:rsidRPr="00C0750E">
      <w:rPr>
        <w:rStyle w:val="PageNumber"/>
        <w:sz w:val="16"/>
        <w:szCs w:val="16"/>
      </w:rPr>
      <w:instrText xml:space="preserve"> NUMPAGES </w:instrText>
    </w:r>
    <w:r w:rsidRPr="00C0750E">
      <w:rPr>
        <w:rStyle w:val="PageNumber"/>
        <w:sz w:val="16"/>
        <w:szCs w:val="16"/>
      </w:rPr>
      <w:fldChar w:fldCharType="separate"/>
    </w:r>
    <w:r w:rsidR="00B7379A">
      <w:rPr>
        <w:rStyle w:val="PageNumber"/>
        <w:noProof/>
        <w:sz w:val="16"/>
        <w:szCs w:val="16"/>
      </w:rPr>
      <w:t>1</w:t>
    </w:r>
    <w:r w:rsidRPr="00C0750E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79A" w:rsidRDefault="00B7379A">
      <w:r>
        <w:separator/>
      </w:r>
    </w:p>
  </w:footnote>
  <w:footnote w:type="continuationSeparator" w:id="0">
    <w:p w:rsidR="00B7379A" w:rsidRDefault="00B73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BCB" w:rsidRDefault="00A12B89">
    <w:pPr>
      <w:pStyle w:val="Header"/>
      <w:rPr>
        <w:sz w:val="16"/>
        <w:szCs w:val="16"/>
      </w:rPr>
    </w:pPr>
    <w:r>
      <w:rPr>
        <w:sz w:val="16"/>
        <w:szCs w:val="16"/>
      </w:rPr>
      <w:t>Bonner County EMS System</w:t>
    </w:r>
    <w:r>
      <w:rPr>
        <w:sz w:val="16"/>
        <w:szCs w:val="16"/>
      </w:rPr>
      <w:tab/>
      <w:t xml:space="preserve">                                                               Procedure</w:t>
    </w:r>
    <w:r w:rsidR="00F66BCB">
      <w:rPr>
        <w:sz w:val="16"/>
        <w:szCs w:val="16"/>
      </w:rPr>
      <w:t>s</w:t>
    </w:r>
  </w:p>
  <w:p w:rsidR="00A12B89" w:rsidRPr="00641051" w:rsidRDefault="00F66BCB">
    <w:pPr>
      <w:pStyle w:val="Header"/>
      <w:rPr>
        <w:sz w:val="16"/>
        <w:szCs w:val="16"/>
      </w:rPr>
    </w:pPr>
    <w:r>
      <w:rPr>
        <w:sz w:val="16"/>
        <w:szCs w:val="16"/>
      </w:rPr>
      <w:tab/>
      <w:t xml:space="preserve">                                                             Airway: </w:t>
    </w:r>
    <w:r w:rsidR="00484852">
      <w:rPr>
        <w:sz w:val="16"/>
        <w:szCs w:val="16"/>
      </w:rPr>
      <w:t xml:space="preserve"> Medicated Assisted Airway- 9013</w:t>
    </w:r>
  </w:p>
  <w:p w:rsidR="00A12B89" w:rsidRPr="00641051" w:rsidRDefault="00A12B89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530F5"/>
    <w:multiLevelType w:val="hybridMultilevel"/>
    <w:tmpl w:val="A3A0BB78"/>
    <w:lvl w:ilvl="0" w:tplc="7206B4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7F5065"/>
    <w:multiLevelType w:val="hybridMultilevel"/>
    <w:tmpl w:val="276CCFAC"/>
    <w:lvl w:ilvl="0" w:tplc="7206B4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6D62CB4"/>
    <w:multiLevelType w:val="hybridMultilevel"/>
    <w:tmpl w:val="7C9E2350"/>
    <w:lvl w:ilvl="0" w:tplc="3CA028D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B20062"/>
    <w:multiLevelType w:val="hybridMultilevel"/>
    <w:tmpl w:val="2B663EA6"/>
    <w:lvl w:ilvl="0" w:tplc="7206B4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C4"/>
    <w:rsid w:val="00057580"/>
    <w:rsid w:val="00057A7D"/>
    <w:rsid w:val="000624B1"/>
    <w:rsid w:val="000C3544"/>
    <w:rsid w:val="000C422E"/>
    <w:rsid w:val="000D360C"/>
    <w:rsid w:val="000E6B8F"/>
    <w:rsid w:val="000E6C0A"/>
    <w:rsid w:val="00101C6A"/>
    <w:rsid w:val="00103380"/>
    <w:rsid w:val="00116C14"/>
    <w:rsid w:val="001236F3"/>
    <w:rsid w:val="00143BC4"/>
    <w:rsid w:val="0015346B"/>
    <w:rsid w:val="001833B3"/>
    <w:rsid w:val="001D4DFB"/>
    <w:rsid w:val="001F1302"/>
    <w:rsid w:val="001F6820"/>
    <w:rsid w:val="00215205"/>
    <w:rsid w:val="002249C4"/>
    <w:rsid w:val="002302F3"/>
    <w:rsid w:val="00237E20"/>
    <w:rsid w:val="00241767"/>
    <w:rsid w:val="00275A53"/>
    <w:rsid w:val="002B0E99"/>
    <w:rsid w:val="00305EC6"/>
    <w:rsid w:val="0030730B"/>
    <w:rsid w:val="00342292"/>
    <w:rsid w:val="00355165"/>
    <w:rsid w:val="00394DA2"/>
    <w:rsid w:val="003A7732"/>
    <w:rsid w:val="0041645D"/>
    <w:rsid w:val="00417255"/>
    <w:rsid w:val="00453C14"/>
    <w:rsid w:val="00484852"/>
    <w:rsid w:val="004B5905"/>
    <w:rsid w:val="004B6747"/>
    <w:rsid w:val="00516F96"/>
    <w:rsid w:val="00531B58"/>
    <w:rsid w:val="00553A4B"/>
    <w:rsid w:val="005649B3"/>
    <w:rsid w:val="00564E19"/>
    <w:rsid w:val="0058581B"/>
    <w:rsid w:val="005B295B"/>
    <w:rsid w:val="005E51A4"/>
    <w:rsid w:val="00613A2E"/>
    <w:rsid w:val="00641051"/>
    <w:rsid w:val="00672724"/>
    <w:rsid w:val="0069745B"/>
    <w:rsid w:val="00704891"/>
    <w:rsid w:val="0079303A"/>
    <w:rsid w:val="007A6B32"/>
    <w:rsid w:val="007C7A93"/>
    <w:rsid w:val="008256EE"/>
    <w:rsid w:val="0083100D"/>
    <w:rsid w:val="00841A1A"/>
    <w:rsid w:val="008A2D95"/>
    <w:rsid w:val="008B3819"/>
    <w:rsid w:val="00963F59"/>
    <w:rsid w:val="00995BA3"/>
    <w:rsid w:val="009F0E2B"/>
    <w:rsid w:val="00A075BA"/>
    <w:rsid w:val="00A12B89"/>
    <w:rsid w:val="00A14C00"/>
    <w:rsid w:val="00A508B0"/>
    <w:rsid w:val="00A515E1"/>
    <w:rsid w:val="00A705FA"/>
    <w:rsid w:val="00A7222F"/>
    <w:rsid w:val="00AD12F3"/>
    <w:rsid w:val="00AE2B60"/>
    <w:rsid w:val="00B01AD7"/>
    <w:rsid w:val="00B531E3"/>
    <w:rsid w:val="00B7379A"/>
    <w:rsid w:val="00B819B0"/>
    <w:rsid w:val="00BE1E37"/>
    <w:rsid w:val="00BE41F1"/>
    <w:rsid w:val="00BF3A00"/>
    <w:rsid w:val="00BF707B"/>
    <w:rsid w:val="00C56A8B"/>
    <w:rsid w:val="00C765E5"/>
    <w:rsid w:val="00CA6D24"/>
    <w:rsid w:val="00CD0B2F"/>
    <w:rsid w:val="00D2306B"/>
    <w:rsid w:val="00D25E58"/>
    <w:rsid w:val="00D46F9C"/>
    <w:rsid w:val="00DC2560"/>
    <w:rsid w:val="00E07015"/>
    <w:rsid w:val="00E51B4C"/>
    <w:rsid w:val="00E62F12"/>
    <w:rsid w:val="00E752E5"/>
    <w:rsid w:val="00E9169F"/>
    <w:rsid w:val="00E92C4F"/>
    <w:rsid w:val="00EB5F03"/>
    <w:rsid w:val="00ED6F71"/>
    <w:rsid w:val="00EE7747"/>
    <w:rsid w:val="00EF0896"/>
    <w:rsid w:val="00F66BCB"/>
    <w:rsid w:val="00F90875"/>
    <w:rsid w:val="00FA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41051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ont111">
    <w:name w:val="font111"/>
    <w:rsid w:val="001F1302"/>
    <w:rPr>
      <w:sz w:val="17"/>
      <w:szCs w:val="17"/>
    </w:rPr>
  </w:style>
  <w:style w:type="paragraph" w:styleId="BalloonText">
    <w:name w:val="Balloon Text"/>
    <w:basedOn w:val="Normal"/>
    <w:link w:val="BalloonTextChar"/>
    <w:rsid w:val="00FA5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5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41051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ont111">
    <w:name w:val="font111"/>
    <w:rsid w:val="001F1302"/>
    <w:rPr>
      <w:sz w:val="17"/>
      <w:szCs w:val="17"/>
    </w:rPr>
  </w:style>
  <w:style w:type="paragraph" w:styleId="BalloonText">
    <w:name w:val="Balloon Text"/>
    <w:basedOn w:val="Normal"/>
    <w:link w:val="BalloonTextChar"/>
    <w:rsid w:val="00FA5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5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Care Treatment Protocol</vt:lpstr>
    </vt:vector>
  </TitlesOfParts>
  <Company>Microsoft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Care Treatment Protocol</dc:title>
  <dc:subject/>
  <dc:creator>Nanci</dc:creator>
  <cp:keywords/>
  <cp:lastModifiedBy>ronjenkins</cp:lastModifiedBy>
  <cp:revision>5</cp:revision>
  <cp:lastPrinted>2015-01-29T06:02:00Z</cp:lastPrinted>
  <dcterms:created xsi:type="dcterms:W3CDTF">2014-02-19T21:19:00Z</dcterms:created>
  <dcterms:modified xsi:type="dcterms:W3CDTF">2015-01-29T06:24:00Z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-860060461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mavidan@co.bonner.id.us</vt:lpwstr>
  </property>
  <property fmtid="{D5CDD505-2E9C-101B-9397-08002B2CF9AE}" pid="6" name="_AuthorEmailDisplayName">
    <vt:lpwstr>Matt Avidan</vt:lpwstr>
  </property>
  <property fmtid="{D5CDD505-2E9C-101B-9397-08002B2CF9AE}" pid="7" name="_ReviewingToolsShownOnce">
    <vt:lpwstr/>
  </property>
</Properties>
</file>